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Cs w:val="44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</w:rPr>
        <w:t>بسم الله الرّحم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</w:rPr>
        <w:t>ن الر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44"/>
          <w:sz w:val="44"/>
          <w:szCs w:val="44"/>
          <w:rtl w:val="true"/>
        </w:rPr>
        <w:t>حيم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شهد الله لعبده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ذلك الكتاب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قد آمن بالله وآياته وكان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صراط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مبين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لنعلم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بالغة لمن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السّم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وات والأرض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لنحن لشاهدون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  <w:lang w:bidi="ar-JO"/>
        </w:rPr>
        <w:t>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فيعدل آيات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نّبيين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بحكم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لنا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ليك لا ورب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شهد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كثر النّاس لا يعقلون ولا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يؤمنون ولا يشعرون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بع حكم 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 يا عبدي وكن من الصّابرين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كل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عرض عنهم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ذرهم في خوضهم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اصبر يا عبدي ولا تجب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حد منهم وقل موتوا بغيظكم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قل يا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هل الأرض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قوا الله واستغفروا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كم وارجعوا إلى حكم الله 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اتلو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آياتنا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عرفتم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 الله لتوقنون 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لتبلغون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نصرون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فوال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ذي خلقكم وجعلني 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ة عليكم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آية من آياتنا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تثبت حكم الله لمن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الأرض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جمعهم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اتلوا كتاب الله بين يديه ثمّ انصفوا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بالعدل لعل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كم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الله لترشدون ولقد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لنا حكم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شي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الكتاب 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قبل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لوا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ممّ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من قبل كلّ النّاس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حكم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كنتم لا تعلمون وكف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بأنفسكم اليوم في حكم مثل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آيات وش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نزل في الد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حكم ذلك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 شهيد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قل ولقد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جعلت في ذلك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إلى يوم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ذن الله لي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ؤ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بنفسي هذا عليكم شاهد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ونصير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785" w:leader="none"/>
        <w:tab w:val="right" w:pos="9900" w:leader="none"/>
      </w:tabs>
      <w:rPr/>
    </w:pPr>
    <w:r>
      <w:rPr>
        <w:rFonts w:cs="Naskh MT for Bosch School" w:ascii="Naskh MT for Bosch School" w:hAnsi="Naskh MT for Bosch School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t>0</w: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sz w:val="20"/>
        <w:szCs w:val="20"/>
        <w:lang w:bidi="ar-JO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رسالة الى الملا حسين بشروئي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114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lang w:bidi="ar-JO"/>
      </w:rPr>
      <w:t>115</w:t>
    </w:r>
    <w:r>
      <w:rPr>
        <w:rFonts w:cs="Naskh MT for Bosch School" w:ascii="Naskh MT for Bosch School" w:hAnsi="Naskh MT for Bosch School"/>
        <w:color w:val="0000FF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رسالة الى الملا حسين بشروئي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lang w:bidi="ar-JO"/>
      </w:rPr>
      <w:t>114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FF"/>
        <w:lang w:bidi="ar-JO"/>
      </w:rPr>
      <w:t>115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FF"/>
        <w:lang w:bidi="ar-JO"/>
      </w:rPr>
    </w:pPr>
    <w:r>
      <w:rPr>
        <w:rFonts w:cs="Naskh MT for Bosch School" w:ascii="Naskh MT for Bosch School" w:hAnsi="Naskh MT for Bosch School"/>
        <w:color w:val="0000FF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2002-05-13T08:03:00Z</dcterms:created>
  <dc:creator/>
  <dc:description/>
  <cp:keywords/>
  <dc:language>en-US</dc:language>
  <cp:lastModifiedBy>Bob</cp:lastModifiedBy>
  <dcterms:modified xsi:type="dcterms:W3CDTF">2015-08-05T08:53:00Z</dcterms:modified>
  <cp:revision>33</cp:revision>
  <dc:subject/>
  <dc:title/>
</cp:coreProperties>
</file>