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أهل الخوارج قد صد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قوا بولاية 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ليّ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ما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يديه لم يخرجوا يوم المصحف بقول الحقّ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أنا كلام الله النّاطق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وكذلك حكم ما 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بوا من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الشّيخي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ّة الّذين هاجروا إليّ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لو صد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قوا 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الحج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لم يكذ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Style w:val="FootnoteCharacters"/>
          <w:rFonts w:ascii="Naskh MT for Bosch School" w:hAnsi="Naskh MT for Bosch School" w:eastAsia="MS Mincho;ＭＳ 明朝" w:cs="Naskh MT for Bosch School"/>
          <w:b/>
          <w:b/>
          <w:bCs/>
          <w:color w:val="FF0000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لا مفر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يقرّوا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أنفس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هم عبادة الشّيطان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تصديقهم وخروجهم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عبدوا الله وبعد ذلك لمّا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كفروا عبدو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الشّيطان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كانوا يقولون لا يمي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ز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وّلا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بين الدّاع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من الله أو من الشّيطان فمن لم يمي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ز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بين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دعوة الرّحم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ودعوة الشّيطان كيف يمي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ز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خر أو من لم يوقن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الدّاع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هو الحقّ من عند الله كيف يخرج من بيته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وكتب إل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كتاب 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صديق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الفحص من الشّك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ليس من الحقّ ففي كلّ الدّلائل لا مفر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للمكذ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 بعبادة الشّيطان في تصديقهم أو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تكذيبهم ومن يعبد الشّيطان لا خير له وليس له عند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نفسه دليل يطمئن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به وله 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الحي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الدّنيا وفي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خرة عذاب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عظيم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>
        <w:color w:val="0000CC"/>
      </w:rPr>
      <w:t>www.atharbahai.org</w:t>
    </w: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توقيع في المباهلة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كتاب ظهور الحق، جلد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215</w:t>
    </w:r>
    <w:r>
      <w:rPr>
        <w:rFonts w:cs="Naskh MT for Bosch School" w:ascii="Naskh MT for Bosch School" w:hAnsi="Naskh MT for Bosch School"/>
        <w:color w:val="0000FF"/>
        <w:lang w:bidi="ar-JO"/>
      </w:rPr>
      <w:t xml:space="preserve">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الصحيفة الجعفرية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قسمتي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215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cs="Naskh MT for Bosch School" w:ascii="Naskh MT for Bosch School" w:hAnsi="Naskh MT for Bosch School"/>
        <w:color w:val="0000FF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2015-08-08T16:42:00Z</dcterms:modified>
  <cp:revision>43</cp:revision>
  <dc:subject/>
  <dc:title/>
</cp:coreProperties>
</file>