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32"/>
          <w:szCs w:val="32"/>
        </w:rPr>
      </w:pPr>
      <w:r>
        <w:rPr>
          <w:rFonts w:ascii="Naskh MT for Bosch School" w:hAnsi="Naskh MT for Bosch School" w:cs="Naskh MT for Bosch School"/>
          <w:b/>
          <w:b/>
          <w:bCs/>
          <w:sz w:val="32"/>
          <w:sz w:val="32"/>
          <w:szCs w:val="32"/>
          <w:rtl w:val="true"/>
        </w:rPr>
        <w:t>بسم اللّه الرحمن الرحيم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قبلهٴ محترم دام عزکم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تلاوت آيات کريمه را نموده ولى چه بسيار عجب است که اهل بصيرت تابع اقوال مردم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هواى انفس شوند لاجل اتباع حکم دين من حيث لا يعلمون اگر چه از طريقهٴ اهل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علم دور است در مقامى که مخاطب ايشان در امرى بلا علم واقع و حجت ظاهر شک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نمايد او را بجواب مجاب فرمايند ولى از آنجائيکه در مقام عبوديت واقفم متحمل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غير طريقهٴ اهل حکمت ميشود حکم صاحب اين امر از دو مرحله خارج نيست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حق است فطوبى لمن اتبعه يا باطل است فالويل لمن عرفه و احبه و شکى نيست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براى امر حق و باطل خداوند عالم علامتى معين فرموده که بآن  تميز داده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شود و اين علامت تصديق و تکذيب ناس نخواهد بود بلى تصديق اهل عدل حجتى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است قوى و ليکن امروز تميز عدول از براى کافهّ مردم امرى است صعب و بهر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نفس واجب است که بنفسه تميز حق از باطل نمايد بعد از اثبات اين مقدمه شبههٴ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نيست که هر گاه نفسى امروز ادعاى بر امرى نمايد که باعث بر انکار جزئى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ضروريات دين نباشد با حجة وافيه بکل عالم فرض است تصديق حکم او نمايند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باجماع مذهب اماميه هر گاه امروز حکمى از امام زمان عليه السلام صادر شود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کل اعراض نمايند کافر ميشوند زيرا که مناط دين عمل صوم و صلوة نيست بلکه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اتباع حکم صادرهٴ از خود ايشان است و شبههٴ نيست که اکثر  مردم در مقام اضل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انعام واقع هستند بلکه مؤمن خالص بنص حديث اقل از کبريت احمر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درين سنه در عمل حج که خدا ميداند عدد او را سه نفر در صحيفهٴ امام عدل مکتوب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شده که حکم آنرا در خط بغداد نوشتم سائر اعمال مردم را هم مثل اين فرض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فرمائيد و تعجب نفرمائيد که امر حق ادق و اعظم ازين است و اکثر هالک هستند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الا من شا اللّه انه عزيز غفور بعد از فوت مرحوم سيد مثل سيدى در ميانهٴ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طائفهٴ ايشان لابد است که در هر عصرى باشد معذلک از اين فتنه خارج نشد مگر همان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فقرا از ارض مقدسه هجرت نموده و ايشان در کتاب امام حق اشرف خلق مکتوب‌اند با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وجود آنکه بر سبيل ظاهر کسى اعتنائى بديشان ندارد و مرادم از ذکر اين فقرات حد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خلق است که رشحهٴ عالم باشند حال مردم از کسى که مدعى امريست حجت ميخواهند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چه حجت ازين عظيمتر است که در عجم خداوند عالم کسى را ظاهر فرمايد بلسان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قرآن که اگر جميع اهل ارض جمع شوند نتوانند حرفى از کلمات آنرا بفهمند 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جاى آنکه اتيان بمثل نمايند حال از آنچه ظاهر شده چشم پوشيده سورهٴ که 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همين ورقه نازل شده کفايت ميکند در حجت بودن اهل ارض را هر گاه کل قرآن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سورهٴ تبت بود آيا کسى را ميرسيد که بگويد حجت نيست حاشا و کلا بلکه 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حجت بودن اين سوره معادل است با حکم قرآن و معجزهٴ جميع انبياء و اوصياء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گوى است و ميدان اين گوى صاحب اين امر علما هم اجتماع نموده گوى خود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بميدان آرند خود شما هميشه قرآن خوانده‌ايد بقدر تلاوت لحن تميز ميدهيد بحق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خداونديکه جانم بريد اوست که اگر جميع اهل ارض جمع شوند باينکه يک آيه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بياورند عاجز خواهند شد اگر هم چيزى بياورند کلمات مسروقه خواهد بود نه اين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است که از لسان ايشان بر فطرت جارى شود چنانچه در صدر اسلام فصحاء اعراب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ادعا نمودند و آخر روسياه و خجل شدند حقير شرح سورهٴ يوسف را در چهل روز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هر روزى بعض از آن مينوشتم اتمام نمودم و هر وقت بخواهم هر چه بنويسم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روح اللّه مؤيد است مثل صحيفه که فرستادم يکشبانه روز منتها نوشتم هر کس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علماء مدعى آن است بسم اللّه چنانچه اشخاصيکه مشاهدهٴ نوشتن را نموده‌اند فهميده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اند که چنين امرى تا حال از احدى از علماء ظاهر نشده بعد از کتاب و صحيفه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حجت خداوند بر کل عالم تمام است و اشخاصى که افتراء بر امام خود ميزنند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آيات و صحيفه ماخوذه از کتاب اللّه و ادعيه است جزاى ايشان با خداوند است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روزيکه اين امر ظاهر شده عمل کل خلق باطل است الا بعد از تصديق و اين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حکم خداوند است هر کس ميخواهد تصديق کند از براى خودش است هر کس 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تکذيب کند عقوبت بخودش ميرسد مرادم از اين فقرات اين است که از بحر اضطراب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خارج شده بر کحسى سکون مستقر گردند کليه اهل بلد را اوّل قابل نديدم اظهار کنم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بلکه حيف است که بر علم چنين امرى غير اشخاصى که قابل هستند وارد شوند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الان هم حکم بلد مثل قبل است هر کس را تصديق از تبعيت يکديگر است خداوند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سرائر همه را مطلع است آنچه اظهار نمودم تابحال بحکم الدهر انزلنى بود و الّا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کسى که بر لسان آن حکم شجرهٴ طور جارى شود لايق نيست اين قسم در مقام عجز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 عباد اللّه مجاهده نمايد بحق خداوندى که لسان مرا باين علو حجت فرموده که کل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خلق امروز در علم نزد من مثل اين قلم جمادى است که در يد من است و غرضم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ازين مقام اظهار فخريه نيست بلکه هر ذى روحى تميز ميدهد که عالى هر گاه وصف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کند خود را از براى رتبهٴ مؤخر ظلم بخود کرده زيرا که آن نميتواند تميز امر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عالى را دهد بلکه از کتمان اسم روز اول ملاحظهٴ همين مزخرفات جنود شيطان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را مينمودم حال که ظاهر شده حرفى با کسى نيست حجت نزد هرکس هست کسى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هم قادر بر فهميدن کلمات حقير نيست که مقصود تدريس و حکم ميان خلق باشد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همين قدر حظّ علماء عجز است و حظ عوام تصديق آنکه اشاره نموده‌اند که مردم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کلمات باطل ميگويند ضررى نميرساند اول در حق خداوند گفتند عزيز ابن اللّه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دوم در حق رسول اللّه صلى اللّه عليه و آله گفتند مثل آنچه در حق من گفته‌اند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انه لمجنون و خداوند عالم بر ايشان نازل فرموده و ما هو الا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ذکر للعالمين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کذلک در شأن آل سلام اللّه عليهم و اين سنت سنيه در مبادى عاليه با ما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بهيچوجه خوفى از احدى نداشته باشيد کمثل بيت عنکبوت هستند و هر چه خداوند عالم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جارى فرمود خير است هرگاه نعوذ باللّه مردم بناى انکار گذارند محروم خواهند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شد از آيات امام خود و حيرت ايشان بجائى نخواهد رسيد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225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227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225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227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2015-08-08T20:33:00Z</dcterms:created>
  <dc:creator>Bob</dc:creator>
  <dc:description/>
  <cp:keywords/>
  <dc:language>en-US</dc:language>
  <cp:lastModifiedBy>Bob</cp:lastModifiedBy>
  <dcterms:modified xsi:type="dcterms:W3CDTF">2015-08-09T03:18:00Z</dcterms:modified>
  <cp:revision>3</cp:revision>
  <dc:subject/>
  <dc:title/>
</cp:coreProperties>
</file>