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2"/>
          <w:szCs w:val="32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Naskh MT for Bosch School" w:hAnsi="Naskh MT for Bosch School" w:eastAsia="MS Mincho;ＭＳ 明朝" w:cs="Naskh MT for Bosch School"/>
          <w:color w:val="000000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highlight w:val="yellow"/>
          <w:rtl w:val="true"/>
        </w:rPr>
        <w:t>...</w:t>
      </w:r>
      <w:r>
        <w:rPr>
          <w:rFonts w:eastAsia="MS Mincho;ＭＳ 明朝" w:cs="Naskh MT for Bosch School" w:ascii="Naskh MT for Bosch School" w:hAnsi="Naskh MT for Bosch School"/>
          <w:color w:val="000000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قد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سْرَ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كلمة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عبده من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رض مولده في الس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نة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السّتّين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بعد الم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أتي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ن وال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لف عن الهجرة المقد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سة يوم السّادس من العشر الث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الث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ع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ن الش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هر المقد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م على شهر الله الحرام ال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ذي نزل فيه القرآن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وَ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بْلَغَهُ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جزيرة البحر</w:t>
      </w:r>
      <w:r>
        <w:rPr>
          <w:rFonts w:ascii="Naskh MT for Bosch School" w:hAnsi="Naskh MT for Bosch School" w:eastAsia="MS Mincho;ＭＳ 明朝" w:cs="Naskh MT for Bosch School"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في يوم السّادس من الش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هر الحرام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شهر رمضان ال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ذي قد قض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القَ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دْر فيها على حكم الله في ليلة منها على خير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من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لْف شهر من دونها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ولقد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رْفَعَهُ بجوده على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فُلْك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المسمّاة بالثلث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المسخ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 فوق الماء يوم الت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اسع من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عشر الثّاني عن الش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هر الحرام شهر الله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ذي قد فرض فيه الص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يام وَ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بْلَغَهُ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إِ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لَ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أُ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ِّ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القُرَ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بيت الله الحرام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في يوم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 من الش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هر الحرام شهر الله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ذي قد قض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فيه حكم الحج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سلام</w:t>
      </w:r>
      <w:r>
        <w:rPr>
          <w:rFonts w:ascii="Naskh MT for Bosch School" w:hAnsi="Naskh MT for Bosch School" w:eastAsia="MS Mincho;ＭＳ 明朝" w:cs="Naskh MT for Bosch School"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وتم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فيه الس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عْي بين الص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فَا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ء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وَالمَرْوَة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وما قد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 في الط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واف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والقيام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وقد قض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فيه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حكم مناسك العُمْرَة والحجّ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في يوم الث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الث من العشر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الث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من هذا الشّهر المقد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ثمّ قد أسمكه في البيت الحرام إلى يوم السّابع من العشر الثّالث هذا الشّهر المقدّم لشهر الحرام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ar-JO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ثمّ قد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صْعَدَهُ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بلد حبيبه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محمّد رسول الله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>-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صلّ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الله عليه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له وخاتم النّ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بيّي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>-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من مضي هذا اليوم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يوم السّابع من سنة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حد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وست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ين بعد الم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تين وال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لف من الهجرة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المقد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سة من الش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هر الحرام شهر الله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ذي قد قتل فيه الت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سبيح والت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هليل بقتل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كلمة الت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كبير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والت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مجيد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بي عبدالله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،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الحسين</w:t>
      </w:r>
      <w:r>
        <w:rPr>
          <w:rFonts w:ascii="Naskh MT for Bosch School" w:hAnsi="Naskh MT for Bosch School" w:eastAsia="MS Mincho;ＭＳ 明朝" w:cs="Naskh MT for Bosch School"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عليه السّ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فلل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ه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الحمد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والكبرياء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بما قد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حفظه في حرم القدس سبعة وعشرين يومًا من الش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هرين العظام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FF0000"/>
          <w:sz w:val="32"/>
          <w:sz w:val="32"/>
          <w:szCs w:val="32"/>
          <w:rtl w:val="true"/>
          <w:lang w:bidi="ar-JO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وله المجد والعظمة في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 الص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عود في اليوم الر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ابع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هر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الآخر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بعد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شهر الله الحرام من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لدى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أوليائه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كل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الخلق بابلاغ كلمة القطع بعد العجز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من معرفة آل الله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سلام الله عليهم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 xml:space="preserve">-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في منته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المنع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وله الجلال والجمال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من يوم الخروج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يوم الوقوف 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رض جد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>-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صلوا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الله على ساكنها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من غير وصف ولا عد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  <w:t>-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بما قد قض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ثن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عشر يومًا في الس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بيل كمثل حكم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زول من حرم الجليل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عين السّلسبيل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وقد قض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حكم الكتاب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بالوقوف في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رض حو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اء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ث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ثة يومًا معدودًا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فسبحان الله والحمد لله ال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ذي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قد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ذن لعبده يوم الر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ابع من العشر الث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اني من شهر ال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ذي قد طلع بعد شهر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الحرام للر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كوب على الفُلك المسخ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ر فوق الماء سفينة ال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تي قد ركبت فيها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في يوم الص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عود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بيت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الله الحرام</w:t>
      </w:r>
      <w:r>
        <w:rPr>
          <w:rFonts w:ascii="Naskh MT for Bosch School" w:hAnsi="Naskh MT for Bosch School" w:eastAsia="MS Mincho;ＭＳ 明朝" w:cs="Naskh MT for Bosch School"/>
          <w:b/>
          <w:b/>
          <w:bCs/>
          <w:color w:val="FF0000"/>
          <w:sz w:val="32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ar-JO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فلل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 الحمد شعشعانيًّا متلا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معًا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متقد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سًا بتقديس الله وفضله على كل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الخلق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إنّه لا إله إلّا هو ربّ العزّة على الخلق أجمعين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وله الحمد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والكبرياء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كما هو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هله ثناء يفضل على كلّ شيء كفضل الله لنفسه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إ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نّه لا إله إلّا هو لَيْسَ كَمْثِلِهِ شَيءٌ</w:t>
      </w:r>
      <w:r>
        <w:rPr>
          <w:rFonts w:ascii="Naskh MT for Bosch School" w:hAnsi="Naskh MT for Bosch School" w:cs="Naskh MT for Bosch School"/>
          <w:color w:val="0000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وهُوَ العَلِي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ُّ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الكَبِيرُ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  <w:lang w:bidi="ar-JO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  <w:lang w:bidi="ar-JO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فسبحان الله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حد القيّوم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الفرد المعبود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ذي قد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نطق ذِكره</w:t>
      </w:r>
      <w:r>
        <w:rPr>
          <w:rFonts w:ascii="Naskh MT for Bosch School" w:hAnsi="Naskh MT for Bosch School" w:eastAsia="MS Mincho;ＭＳ 明朝" w:cs="Naskh MT for Bosch School"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يوم الر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كوب بحمد نفسه وذكر سبيل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صعوده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زيارة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نبيّه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ومظاهر قدرته محم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د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له معدن العظمة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في منته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مره وفضله ليعلم كل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نفس بعلم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ام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ص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عوده حكم القدر وسر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ها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وليخرج كل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ذي روح من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ام سيره حكم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العرش والكرسي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وسير ال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فلاك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في مل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ال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سماء والصّفات حت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ّى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ليدخل الكل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بيت الله الحرام بال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آ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يات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الغر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اء الن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ازلة على تلك ال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لواح البيضاء وليسجدن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في المسجد كما قد فعلوا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وّ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 xml:space="preserve">َ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ة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ٍ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ِّ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ر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ُ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وا م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ا ع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ا ت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َ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ت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ْ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ب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ِ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ير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ً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ا</w:t>
      </w:r>
      <w:r>
        <w:rPr>
          <w:rFonts w:ascii="Naskh MT for Bosch School" w:hAnsi="Naskh MT for Bosch School" w:eastAsia="MS Mincho;ＭＳ 明朝" w:cs="Naskh MT for Bosch School"/>
          <w:color w:val="FF0000"/>
          <w:sz w:val="32"/>
          <w:sz w:val="32"/>
          <w:szCs w:val="32"/>
          <w:rtl w:val="true"/>
        </w:rPr>
        <w:t xml:space="preserve"> </w:t>
      </w:r>
      <w:r>
        <w:rPr>
          <w:rFonts w:eastAsia="MS Mincho;ＭＳ 明朝" w:cs="Naskh MT for Bosch School" w:ascii="Naskh MT for Bosch School" w:hAnsi="Naskh MT for Bosch School"/>
          <w:color w:val="FF0000"/>
          <w:sz w:val="32"/>
          <w:szCs w:val="32"/>
          <w:highlight w:val="yellow"/>
          <w:rtl w:val="true"/>
        </w:rPr>
        <w:t>...</w:t>
      </w: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فسبحان الّذي قد قض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في سبيل سيره ما قد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قض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لكلّ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بواب مِن قَبْلُ ور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في سبيل الله كلّ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ذ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من أهل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الشِّرك والشّكّ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تلك سُن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ة الله قد خَلَتْ مِن قَبْلُ وما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جِدُ لِسُن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ةِ الله في 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نٍ من بعض الش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يء تحويلاً ولن تجدوا لحكمِ في بعضٍ من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الحر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ف تبديلاً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2"/>
          <w:szCs w:val="32"/>
        </w:rPr>
      </w:pP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حت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ّى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قد سرق الس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ارق في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رض الحرمين فِي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منزل الثّالث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كل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ما كتب الله في الس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بيل له ليلة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 من السّنة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حد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ى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وست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ين بعد الم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تين وال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لف من الش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هر الثّاني بعد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شهر الحج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إ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 ذلك حكم من سُن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َّ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ة ال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 xml:space="preserve">وّلين وما 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جد لش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>أ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</w:rPr>
        <w:t>ن</w:t>
      </w:r>
      <w:r>
        <w:rPr>
          <w:rFonts w:ascii="Naskh MT for Bosch School" w:hAnsi="Naskh MT for Bosch School" w:eastAsia="MS Mincho;ＭＳ 明朝" w:cs="Naskh MT for Bosch School"/>
          <w:sz w:val="32"/>
          <w:sz w:val="32"/>
          <w:szCs w:val="32"/>
          <w:rtl w:val="true"/>
          <w:lang w:bidi="ar-JO"/>
        </w:rPr>
        <w:t xml:space="preserve"> 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>الله في بعض من الحكم تحويلاً</w:t>
      </w:r>
      <w:r>
        <w:rPr>
          <w:rFonts w:ascii="Naskh MT for Bosch School" w:hAnsi="Naskh MT for Bosch School" w:eastAsia="MS Mincho;ＭＳ 明朝" w:cs="Naskh MT for Bosch School"/>
          <w:color w:val="000000"/>
          <w:sz w:val="32"/>
          <w:sz w:val="32"/>
          <w:szCs w:val="32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Naskh MT for Bosch School" w:hAnsi="Naskh MT for Bosch School" w:eastAsia="MS Mincho;ＭＳ 明朝" w:cs="Naskh MT for Bosch School"/>
          <w:color w:val="000000"/>
          <w:sz w:val="32"/>
          <w:szCs w:val="32"/>
        </w:rPr>
      </w:pPr>
      <w:r>
        <w:rPr>
          <w:rFonts w:eastAsia="MS Mincho;ＭＳ 明朝" w:cs="Naskh MT for Bosch School" w:ascii="Naskh MT for Bosch School" w:hAnsi="Naskh MT for Bosch School"/>
          <w:color w:val="000000"/>
          <w:sz w:val="32"/>
          <w:szCs w:val="32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1872" w:footer="720" w:bottom="1440" w:gutter="0"/>
      <w:pgBorders w:display="allPages" w:offsetFrom="page">
        <w:top w:val="threeDEmboss" w:sz="48" w:space="24" w:color="E36C0A"/>
        <w:left w:val="threeDEmboss" w:sz="48" w:space="24" w:color="E36C0A"/>
        <w:bottom w:val="threeDEmboss" w:sz="48" w:space="24" w:color="E36C0A"/>
        <w:right w:val="threeDEmboss" w:sz="48" w:space="24" w:color="E36C0A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Naskh MT for Bosch Scho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خطبة من الجدة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من آثار حضرة الباب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>–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 كتاب عهد اعلى، الصفحة </w:t>
    </w:r>
    <w:r>
      <w:rPr>
        <w:rFonts w:cs="Naskh MT for Bosch School" w:ascii="Naskh MT for Bosch School" w:hAnsi="Naskh MT for Bosch School"/>
        <w:color w:val="0000CC"/>
        <w:lang w:bidi="ar-JO"/>
      </w:rPr>
      <w:t>86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–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cs="Naskh MT for Bosch School" w:ascii="Naskh MT for Bosch School" w:hAnsi="Naskh MT for Bosch School"/>
        <w:color w:val="0000CC"/>
        <w:lang w:bidi="ar-JO"/>
      </w:rPr>
      <w:t>87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00" w:after="0"/>
      <w:outlineLvl w:val="2"/>
    </w:pPr>
    <w:rPr>
      <w:rFonts w:ascii="Cambria" w:hAnsi="Cambria" w:eastAsia="Times New Roman" w:cs="Times New Roman"/>
      <w:b/>
      <w:bCs/>
      <w:color w:val="4F81BD"/>
    </w:rPr>
  </w:style>
  <w:style w:type="paragraph" w:styleId="Heading4">
    <w:name w:val="Heading 4"/>
    <w:basedOn w:val="Normal"/>
    <w:next w:val="Normal"/>
    <w:qFormat/>
    <w:pPr>
      <w:keepNext w:val="true"/>
      <w:keepLines/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qFormat/>
    <w:pPr>
      <w:keepNext w:val="true"/>
      <w:keepLines/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color w:val="243F60"/>
    </w:rPr>
  </w:style>
  <w:style w:type="paragraph" w:styleId="Heading6">
    <w:name w:val="Heading 6"/>
    <w:basedOn w:val="Normal"/>
    <w:next w:val="Normal"/>
    <w:qFormat/>
    <w:pPr>
      <w:keepNext w:val="true"/>
      <w:keepLines/>
      <w:numPr>
        <w:ilvl w:val="5"/>
        <w:numId w:val="1"/>
      </w:numPr>
      <w:spacing w:before="200" w:after="0"/>
      <w:outlineLvl w:val="5"/>
    </w:pPr>
    <w:rPr>
      <w:rFonts w:ascii="Cambria" w:hAnsi="Cambria" w:eastAsia="Times New Roman" w:cs="Times New Roman"/>
      <w:i/>
      <w:iCs/>
      <w:color w:val="243F60"/>
    </w:rPr>
  </w:style>
  <w:style w:type="paragraph" w:styleId="Heading7">
    <w:name w:val="Heading 7"/>
    <w:basedOn w:val="Normal"/>
    <w:next w:val="Normal"/>
    <w:qFormat/>
    <w:pPr>
      <w:keepNext w:val="true"/>
      <w:keepLines/>
      <w:numPr>
        <w:ilvl w:val="6"/>
        <w:numId w:val="1"/>
      </w:numPr>
      <w:spacing w:before="200" w:after="0"/>
      <w:outlineLvl w:val="6"/>
    </w:pPr>
    <w:rPr>
      <w:rFonts w:ascii="Cambria" w:hAnsi="Cambria" w:eastAsia="Times New Roman" w:cs="Times New Roman"/>
      <w:i/>
      <w:iCs/>
      <w:color w:val="404040"/>
    </w:rPr>
  </w:style>
  <w:style w:type="paragraph" w:styleId="Heading8">
    <w:name w:val="Heading 8"/>
    <w:basedOn w:val="Normal"/>
    <w:next w:val="Normal"/>
    <w:qFormat/>
    <w:pPr>
      <w:keepNext w:val="true"/>
      <w:keepLines/>
      <w:numPr>
        <w:ilvl w:val="7"/>
        <w:numId w:val="1"/>
      </w:numPr>
      <w:spacing w:before="200" w:after="0"/>
      <w:outlineLvl w:val="7"/>
    </w:pPr>
    <w:rPr>
      <w:rFonts w:ascii="Cambria" w:hAnsi="Cambria" w:eastAsia="Times New Roman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qFormat/>
    <w:pPr>
      <w:keepNext w:val="true"/>
      <w:keepLines/>
      <w:numPr>
        <w:ilvl w:val="8"/>
        <w:numId w:val="1"/>
      </w:numPr>
      <w:spacing w:before="200" w:after="0"/>
      <w:outlineLvl w:val="8"/>
    </w:pPr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eastAsia="MS Mincho;ＭＳ 明朝" w:cs="Naskh MT for Bosch Scho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eastAsia="MS Mincho;ＭＳ 明朝" w:cs="Naskh MT for Bosch Scho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Symbol" w:hAnsi="Symbol" w:cs="Symbol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ascii="Symbol" w:hAnsi="Symbol" w:eastAsia="MS Mincho;ＭＳ 明朝" w:cs="Naskh MT for Bosch School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3">
    <w:name w:val="WW8Num10z3"/>
    <w:qFormat/>
    <w:rPr>
      <w:rFonts w:ascii="Symbol" w:hAnsi="Symbol" w:cs="Symbol"/>
    </w:rPr>
  </w:style>
  <w:style w:type="character" w:styleId="WW8Num11z0">
    <w:name w:val="WW8Num11z0"/>
    <w:qFormat/>
    <w:rPr>
      <w:rFonts w:ascii="Symbol" w:hAnsi="Symbol" w:cs="Symbol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2z0">
    <w:name w:val="WW8Num12z0"/>
    <w:qFormat/>
    <w:rPr/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>
      <w:rFonts w:ascii="Symbol" w:hAnsi="Symbol" w:eastAsia="MS Mincho;ＭＳ 明朝" w:cs="Naskh MT for Bosch School"/>
    </w:rPr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color w:val="365F91"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  <w:color w:val="4F81BD"/>
      <w:sz w:val="24"/>
      <w:szCs w:val="24"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  <w:color w:val="4F81BD"/>
      <w:sz w:val="24"/>
      <w:szCs w:val="24"/>
    </w:rPr>
  </w:style>
  <w:style w:type="character" w:styleId="Heading5Char">
    <w:name w:val="Heading 5 Char"/>
    <w:qFormat/>
    <w:rPr>
      <w:rFonts w:ascii="Cambria" w:hAnsi="Cambria" w:eastAsia="Times New Roman" w:cs="Times New Roman"/>
      <w:color w:val="243F60"/>
      <w:sz w:val="24"/>
      <w:szCs w:val="24"/>
    </w:rPr>
  </w:style>
  <w:style w:type="character" w:styleId="Heading6Char">
    <w:name w:val="Heading 6 Char"/>
    <w:qFormat/>
    <w:rPr>
      <w:rFonts w:ascii="Cambria" w:hAnsi="Cambria" w:eastAsia="Times New Roman" w:cs="Times New Roman"/>
      <w:i/>
      <w:iCs/>
      <w:color w:val="243F60"/>
      <w:sz w:val="24"/>
      <w:szCs w:val="24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  <w:color w:val="404040"/>
      <w:sz w:val="24"/>
      <w:szCs w:val="24"/>
    </w:rPr>
  </w:style>
  <w:style w:type="character" w:styleId="Heading8Char">
    <w:name w:val="Heading 8 Char"/>
    <w:qFormat/>
    <w:rPr>
      <w:rFonts w:ascii="Cambria" w:hAnsi="Cambria" w:eastAsia="Times New Roman" w:cs="Times New Roman"/>
      <w:color w:val="404040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color w:val="404040"/>
      <w:sz w:val="20"/>
      <w:szCs w:val="20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color w:val="4F81BD"/>
      <w:spacing w:val="15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i/>
      <w:iCs/>
    </w:rPr>
  </w:style>
  <w:style w:type="character" w:styleId="TitleChar">
    <w:name w:val="Title Char"/>
    <w:qFormat/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character" w:styleId="NoSpacingChar">
    <w:name w:val="No Spacing Char"/>
    <w:qFormat/>
    <w:rPr>
      <w:rFonts w:ascii="Times New Roman" w:hAnsi="Times New Roman" w:cs="Times New Roman"/>
      <w:sz w:val="24"/>
      <w:szCs w:val="24"/>
    </w:rPr>
  </w:style>
  <w:style w:type="character" w:styleId="QuoteChar">
    <w:name w:val="Quote Char"/>
    <w:qFormat/>
    <w:rPr>
      <w:rFonts w:ascii="Times New Roman" w:hAnsi="Times New Roman" w:cs="Times New Roman"/>
      <w:i/>
      <w:iCs/>
      <w:color w:val="000000"/>
      <w:sz w:val="24"/>
      <w:szCs w:val="24"/>
    </w:rPr>
  </w:style>
  <w:style w:type="character" w:styleId="IntenseQuoteChar">
    <w:name w:val="Intense Quote Char"/>
    <w:qFormat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character" w:styleId="SubtleEmphasis">
    <w:name w:val="Subtle Emphasis"/>
    <w:qFormat/>
    <w:rPr>
      <w:i/>
      <w:iCs/>
      <w:color w:val="808080"/>
    </w:rPr>
  </w:style>
  <w:style w:type="character" w:styleId="IntenseEmphasis">
    <w:name w:val="Intense Emphasis"/>
    <w:qFormat/>
    <w:rPr>
      <w:b/>
      <w:bCs/>
      <w:i/>
      <w:iCs/>
      <w:color w:val="4F81BD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IntenseReference">
    <w:name w:val="Intense Reference"/>
    <w:qFormat/>
    <w:rPr>
      <w:b/>
      <w:bCs/>
      <w:smallCaps/>
      <w:color w:val="C0504D"/>
      <w:spacing w:val="5"/>
      <w:u w:val="single"/>
    </w:rPr>
  </w:style>
  <w:style w:type="character" w:styleId="BookTitle">
    <w:name w:val="Book Title"/>
    <w:qFormat/>
    <w:rPr>
      <w:b/>
      <w:bCs/>
      <w:smallCaps/>
      <w:spacing w:val="5"/>
    </w:rPr>
  </w:style>
  <w:style w:type="character" w:styleId="PlainTextChar">
    <w:name w:val="Plain Text Char"/>
    <w:qFormat/>
    <w:rPr>
      <w:rFonts w:ascii="Courier New" w:hAnsi="Courier New" w:eastAsia="Times New Roman" w:cs="Courier New"/>
      <w:sz w:val="20"/>
      <w:szCs w:val="20"/>
    </w:rPr>
  </w:style>
  <w:style w:type="character" w:styleId="HeaderChar">
    <w:name w:val="Head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FooterChar">
    <w:name w:val="Footer Char"/>
    <w:qFormat/>
    <w:rPr>
      <w:rFonts w:ascii="Times New Roman" w:hAnsi="Times New Roman" w:eastAsia="Times New Roman" w:cs="Times New Roman"/>
      <w:sz w:val="24"/>
      <w:szCs w:val="24"/>
    </w:rPr>
  </w:style>
  <w:style w:type="character" w:styleId="PageNumber">
    <w:name w:val="Page Number"/>
    <w:basedOn w:val="DefaultParagraphFont"/>
    <w:rPr/>
  </w:style>
  <w:style w:type="character" w:styleId="FootnoteTextChar">
    <w:name w:val="Footnote Text Char"/>
    <w:qFormat/>
    <w:rPr>
      <w:rFonts w:ascii="Times New Roman" w:hAnsi="Times New Roman" w:eastAsia="Times New Roman" w:cs="Times New Roman"/>
      <w:sz w:val="20"/>
      <w:szCs w:val="20"/>
    </w:rPr>
  </w:style>
  <w:style w:type="character" w:styleId="FootnoteCharacters">
    <w:name w:val="Footnote Characters"/>
    <w:qFormat/>
    <w:rPr>
      <w:vertAlign w:val="superscript"/>
      <w:lang w:bidi="ar-JO"/>
    </w:rPr>
  </w:style>
  <w:style w:type="character" w:styleId="EndnoteTextChar">
    <w:name w:val="Endnote Text Char"/>
    <w:qFormat/>
    <w:rPr>
      <w:rFonts w:ascii="Times New Roman" w:hAnsi="Times New Roman" w:eastAsia="Times New Roman" w:cs="Times New Roman"/>
      <w:sz w:val="20"/>
      <w:szCs w:val="20"/>
    </w:rPr>
  </w:style>
  <w:style w:type="character" w:styleId="BalloonTextChar">
    <w:name w:val="Balloon Text Char"/>
    <w:qFormat/>
    <w:rPr>
      <w:rFonts w:ascii="Tahoma" w:hAnsi="Tahoma" w:eastAsia="Times New Roman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8" w:space="4" w:color="4F81BD"/>
      </w:pBdr>
      <w:spacing w:before="0" w:after="300"/>
      <w:contextualSpacing/>
    </w:pPr>
    <w:rPr>
      <w:rFonts w:ascii="Cambria" w:hAnsi="Cambria" w:eastAsia="Times New Roman" w:cs="Times New Roman"/>
      <w:color w:val="17365D"/>
      <w:spacing w:val="5"/>
      <w:kern w:val="2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/>
    <w:rPr>
      <w:rFonts w:ascii="Cambria" w:hAnsi="Cambria" w:eastAsia="Times New Roman" w:cs="Times New Roman"/>
      <w:i/>
      <w:iCs/>
      <w:color w:val="4F81BD"/>
      <w:spacing w:val="15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/>
    <w:rPr>
      <w:i/>
      <w:iCs/>
      <w:color w:val="000000"/>
    </w:rPr>
  </w:style>
  <w:style w:type="paragraph" w:styleId="IntenseQuote">
    <w:name w:val="Intense Quote"/>
    <w:basedOn w:val="Normal"/>
    <w:next w:val="Normal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Footnote">
    <w:name w:val="Footnote Text"/>
    <w:basedOn w:val="Normal"/>
    <w:pPr/>
    <w:rPr>
      <w:sz w:val="20"/>
      <w:szCs w:val="20"/>
    </w:rPr>
  </w:style>
  <w:style w:type="paragraph" w:styleId="Endnote">
    <w:name w:val="Endnote Text"/>
    <w:basedOn w:val="Normal"/>
    <w:pPr/>
    <w:rPr>
      <w:sz w:val="20"/>
      <w:szCs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2012-08-05T08:49:00Z</dcterms:created>
  <dc:creator>mayaz</dc:creator>
  <dc:description/>
  <cp:keywords/>
  <dc:language>en-US</dc:language>
  <cp:lastModifiedBy>Bob</cp:lastModifiedBy>
  <cp:lastPrinted>2012-08-04T23:54:00Z</cp:lastPrinted>
  <dcterms:modified xsi:type="dcterms:W3CDTF">2015-08-14T05:31:00Z</dcterms:modified>
  <cp:revision>6</cp:revision>
  <dc:subject/>
  <dc:title/>
</cp:coreProperties>
</file>