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lang w:bidi="fa-IR"/>
        </w:rPr>
      </w:pPr>
      <w:r>
        <w:rPr>
          <w:b/>
          <w:bCs/>
          <w:sz w:val="36"/>
          <w:szCs w:val="36"/>
          <w:lang w:bidi="fa-IR"/>
        </w:rPr>
        <w:t>KITAB-I-‘AND</w:t>
      </w:r>
    </w:p>
    <w:p>
      <w:pPr>
        <w:pStyle w:val="Normal"/>
        <w:jc w:val="center"/>
        <w:rPr>
          <w:b/>
          <w:b/>
          <w:bCs/>
          <w:sz w:val="36"/>
          <w:szCs w:val="36"/>
          <w:lang w:bidi="fa-IR"/>
        </w:rPr>
      </w:pPr>
      <w:r>
        <w:rPr>
          <w:b/>
          <w:bCs/>
          <w:sz w:val="36"/>
          <w:szCs w:val="36"/>
          <w:lang w:bidi="fa-IR"/>
        </w:rPr>
        <w:t>(BOOK OF THE COVENANT)</w:t>
      </w:r>
    </w:p>
    <w:p>
      <w:pPr>
        <w:pStyle w:val="Normal"/>
        <w:jc w:val="both"/>
        <w:rPr>
          <w:b/>
          <w:b/>
          <w:bCs/>
          <w:sz w:val="36"/>
          <w:szCs w:val="36"/>
          <w:lang w:bidi="fa-IR"/>
        </w:rPr>
      </w:pPr>
      <w:r>
        <w:rPr>
          <w:b/>
          <w:bCs/>
          <w:sz w:val="36"/>
          <w:szCs w:val="36"/>
          <w:lang w:bidi="fa-IR"/>
        </w:rPr>
      </w:r>
    </w:p>
    <w:p>
      <w:pPr>
        <w:pStyle w:val="Firstlinenoindent"/>
        <w:jc w:val="both"/>
        <w:rPr>
          <w:b/>
          <w:b/>
          <w:bCs/>
          <w:lang w:val="en" w:bidi="fa-IR"/>
        </w:rPr>
      </w:pPr>
      <w:r>
        <w:rPr>
          <w:b/>
          <w:bCs/>
          <w:lang w:val="en" w:bidi="fa-IR"/>
        </w:rPr>
      </w:r>
    </w:p>
    <w:p>
      <w:pPr>
        <w:pStyle w:val="Firstlinenoindent"/>
        <w:jc w:val="both"/>
        <w:rPr/>
      </w:pPr>
      <w:r>
        <w:rPr>
          <w:lang w:val="en"/>
        </w:rPr>
        <w:t>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Qur’án: “Woe betide every slanderer and defamer, him that layeth up riches and counteth them.”</w:t>
      </w:r>
      <w:r>
        <w:rPr>
          <w:rStyle w:val="FootnoteCharacters"/>
          <w:rStyle w:val="FootnoteAnchor"/>
          <w:color w:val="FF0000"/>
          <w:lang w:val="en"/>
        </w:rPr>
        <w:footnoteReference w:id="2"/>
      </w:r>
      <w:r>
        <w:rPr>
          <w:lang w:val="en"/>
        </w:rPr>
        <w:t xml:space="preserve"> Fleeting are the riches of the world; all that perisheth and changeth is not, and hath never been, worthy of attention, except to a recognized measure.</w:t>
      </w:r>
    </w:p>
    <w:p>
      <w:pPr>
        <w:pStyle w:val="NormalWeb"/>
        <w:jc w:val="both"/>
        <w:rPr>
          <w:lang w:val="en"/>
        </w:rPr>
      </w:pPr>
      <w:r>
        <w:rPr>
          <w:lang w:val="en"/>
        </w:rPr>
        <w:t>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refrain from slander, abuse and whatever causeth sadness in men. Lofty is the station of man! Not long ago this exalted Word streamed forth from the treasury of Our Pen of Glory: Great and blessed is this Day—the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p>
      <w:pPr>
        <w:pStyle w:val="NormalWeb"/>
        <w:jc w:val="both"/>
        <w:rPr>
          <w:lang w:val="en"/>
        </w:rPr>
      </w:pPr>
      <w:r>
        <w:rPr>
          <w:lang w:val="en"/>
        </w:rPr>
        <w:t>Every receptive soul who hath in this Day inhaled the fragrance of His garment and hath, with a pure heart, set his face towards the all-glorious Horizon is reckoned among the people of Bahá in the Crimson Book. Grasp ye, in My Name, the chalice of My loving-kindness; drink then your fill in My glorious and wondrous remembrance.</w:t>
      </w:r>
    </w:p>
    <w:p>
      <w:pPr>
        <w:pStyle w:val="NormalWeb"/>
        <w:jc w:val="both"/>
        <w:rPr>
          <w:lang w:val="en"/>
        </w:rPr>
      </w:pPr>
      <w:r>
        <w:rPr>
          <w:lang w:val="en"/>
        </w:rPr>
        <w:t>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p>
      <w:pPr>
        <w:pStyle w:val="NormalWeb"/>
        <w:jc w:val="both"/>
        <w:rPr>
          <w:lang w:val="en"/>
        </w:rPr>
      </w:pPr>
      <w:r>
        <w:rPr>
          <w:lang w:val="en"/>
        </w:rPr>
        <w:t>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p>
      <w:pPr>
        <w:pStyle w:val="NormalWeb"/>
        <w:jc w:val="both"/>
        <w:rPr>
          <w:lang w:val="en"/>
        </w:rPr>
      </w:pPr>
      <w:r>
        <w:rPr>
          <w:lang w:val="en"/>
        </w:rPr>
        <w:t>Conflict and contention are categorically forbidden in His Book. This is a decree of God in this Most Great Revelation. It is divinely preserved from annulment and is invested by Him with the splendour of His confirmation. Verily He is the All-Knowing, the All-Wise.</w:t>
      </w:r>
    </w:p>
    <w:p>
      <w:pPr>
        <w:pStyle w:val="NormalWeb"/>
        <w:jc w:val="both"/>
        <w:rPr>
          <w:lang w:val="en"/>
        </w:rPr>
      </w:pPr>
      <w:r>
        <w:rPr>
          <w:lang w:val="en"/>
        </w:rPr>
        <w:t>It is incumbent upon everyone to aid those daysprings of authority and sources of command who are adorned with the ornament of equity and justice. Blessed are the rulers and the learned among the people of Bahá. They are My trustees among My servants and the manifestations of My commandments amidst My people. Upon them rest My glory, My blessings and My grace which have pervaded the world of being. In this connection the utterances revealed in the Kitáb-i-Aqdas are such that from the horizon of their words the light of divine grace shineth luminous and resplendent.</w:t>
      </w:r>
    </w:p>
    <w:p>
      <w:pPr>
        <w:pStyle w:val="NormalWeb"/>
        <w:jc w:val="both"/>
        <w:rPr>
          <w:lang w:val="en"/>
        </w:rPr>
      </w:pPr>
      <w:r>
        <w:rPr>
          <w:lang w:val="en"/>
        </w:rPr>
        <w:t>O ye My Branches! A mighty force, a consummate power lieth concealed in the world of being. Fix your gaze upon it and upon its unifying influence, and not upon the differences which appear from it.</w:t>
      </w:r>
    </w:p>
    <w:p>
      <w:pPr>
        <w:pStyle w:val="NormalWeb"/>
        <w:jc w:val="both"/>
        <w:rPr/>
      </w:pPr>
      <w:r>
        <w:rPr>
          <w:lang w:val="en"/>
        </w:rPr>
        <w:t>The Will of the divine Testator is this: It is incumbent upon the A</w:t>
      </w:r>
      <w:r>
        <w:rPr>
          <w:u w:val="single"/>
          <w:lang w:val="en"/>
        </w:rPr>
        <w:t>gh</w:t>
      </w:r>
      <w:r>
        <w:rPr>
          <w:lang w:val="en"/>
        </w:rPr>
        <w:t>ṣán, the Afnán and My kindred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except the Most Mighty Branch [‘Abdu’l-Bahá]. Thus have We graciously revealed unto you Our potent Will, and I am verily the Gracious, the All-Bountiful. Verily God hath ordained the station of the Greater Branch [Mírzá Muḥammad-‘Alí] to be beneath that of the Most Great Branch [‘Abdu’l-Bahá]. He is in truth the Ordainer, the All-Wise. We have chosen “the Greater” after “the Most Great”, as decreed by Him Who is the All-Knowing, the All-Informed.</w:t>
      </w:r>
    </w:p>
    <w:p>
      <w:pPr>
        <w:pStyle w:val="NormalWeb"/>
        <w:jc w:val="both"/>
        <w:rPr/>
      </w:pPr>
      <w:r>
        <w:rPr>
          <w:lang w:val="en"/>
        </w:rPr>
        <w:t>It is enjoined upon everyone to manifest love towards the A</w:t>
      </w:r>
      <w:r>
        <w:rPr>
          <w:u w:val="single"/>
          <w:lang w:val="en"/>
        </w:rPr>
        <w:t>gh</w:t>
      </w:r>
      <w:r>
        <w:rPr>
          <w:lang w:val="en"/>
        </w:rPr>
        <w:t>ṣán, but God hath not granted them any right to the property of others.</w:t>
      </w:r>
    </w:p>
    <w:p>
      <w:pPr>
        <w:pStyle w:val="NormalWeb"/>
        <w:jc w:val="both"/>
        <w:rPr/>
      </w:pPr>
      <w:r>
        <w:rPr>
          <w:lang w:val="en"/>
        </w:rPr>
        <w:t>O ye My A</w:t>
      </w:r>
      <w:r>
        <w:rPr>
          <w:u w:val="single"/>
          <w:lang w:val="en"/>
        </w:rPr>
        <w:t>gh</w:t>
      </w:r>
      <w:r>
        <w:rPr>
          <w:lang w:val="en"/>
        </w:rPr>
        <w:t>ṣán, My Afnán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p>
      <w:pPr>
        <w:pStyle w:val="NormalWeb"/>
        <w:jc w:val="both"/>
        <w:rPr>
          <w:lang w:val="en"/>
        </w:rPr>
      </w:pPr>
      <w:r>
        <w:rPr>
          <w:lang w:val="en"/>
        </w:rPr>
        <w:t>Say: O servants! Let not the means of order be made the cause of confusion and the instrument of union an occasion for discord. We fain would hope that the people of Bahá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p>
    <w:p>
      <w:pPr>
        <w:pStyle w:val="NormalWeb"/>
        <w:jc w:val="both"/>
        <w:rPr>
          <w:lang w:val="en"/>
        </w:rPr>
      </w:pPr>
      <w:r>
        <w:rPr>
          <w:lang w:val="en"/>
        </w:rPr>
        <w:t>It is incumbent upon everyone to show courtesy to, and have regard for, the Aghṣán,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Afnán and the kindred. We further admonish you to serve all nations and to strive for the betterment of the world.</w:t>
      </w:r>
    </w:p>
    <w:p>
      <w:pPr>
        <w:pStyle w:val="NormalWeb"/>
        <w:spacing w:before="0" w:after="264"/>
        <w:jc w:val="both"/>
        <w:rPr/>
      </w:pPr>
      <w:r>
        <w:rPr>
          <w:lang w:val="en"/>
        </w:rPr>
        <w:t>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r>
        <w:rPr>
          <w:rStyle w:val="FootnoteCharacters"/>
          <w:rStyle w:val="FootnoteAnchor"/>
          <w:color w:val="FF0000"/>
          <w:lang w:val="en"/>
        </w:rPr>
        <w:footnoteReference w:id="3"/>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Qur’án 104:1–2.</w:t>
      </w:r>
    </w:p>
  </w:footnote>
  <w:footnote w:id="3">
    <w:p>
      <w:pPr>
        <w:pStyle w:val="Footnote"/>
        <w:rPr>
          <w:color w:val="FF0000"/>
        </w:rPr>
      </w:pPr>
      <w:r>
        <w:rPr>
          <w:rStyle w:val="FootnoteCharacters"/>
        </w:rPr>
        <w:footnoteRef/>
      </w:r>
      <w:r>
        <w:rPr/>
        <w:tab/>
        <w:t xml:space="preserve"> </w:t>
      </w:r>
      <w:r>
        <w:rPr>
          <w:color w:val="565656"/>
          <w:sz w:val="15"/>
          <w:szCs w:val="15"/>
          <w:lang w:val="en"/>
        </w:rPr>
        <w:t xml:space="preserve">This translation of the Kitáb-i-‘Ahd was first published in </w:t>
      </w:r>
      <w:r>
        <w:rPr>
          <w:rStyle w:val="Italic3"/>
          <w:color w:val="565656"/>
          <w:sz w:val="15"/>
          <w:szCs w:val="15"/>
          <w:lang w:val="en"/>
        </w:rPr>
        <w:t>Tablets of Bahá’u’lláh Revealed after the Kitáb-i-Aqdas</w:t>
      </w:r>
      <w:r>
        <w:rPr>
          <w:color w:val="565656"/>
          <w:sz w:val="15"/>
          <w:szCs w:val="15"/>
          <w:lang w:val="en"/>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Italic3">
    <w:name w:val="italic3"/>
    <w:qFormat/>
    <w:rPr>
      <w:i/>
      <w:i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