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bidi w:val="1"/>
        <w:ind w:left="0" w:right="0" w:firstLine="720"/>
        <w:jc w:val="both"/>
        <w:rPr>
          <w:rFonts w:ascii="Traditional Arabic" w:hAnsi="Traditional Arabic" w:cs="Traditional Arabic"/>
          <w:sz w:val="44"/>
          <w:szCs w:val="44"/>
          <w:lang w:bidi="ar-AE"/>
        </w:rPr>
      </w:pPr>
      <w:r>
        <w:rPr>
          <w:rFonts w:ascii="Traditional Arabic" w:hAnsi="Traditional Arabic" w:cs="Traditional Arabic"/>
          <w:sz w:val="44"/>
          <w:sz w:val="44"/>
          <w:szCs w:val="44"/>
          <w:rtl w:val="true"/>
        </w:rPr>
        <w:t>إِلهِي إِلهِي كَيْفَ أَخْتارُ النَّوْمَ وَعُيُوْنُ مُشْتاقِيْكَ ساهِرَةٌ فِي فِراقِكَ، وَكَيْفَ أَسْتَريحُ عَلَى الفِراشِ وَأَفْئِدَةُ عاشِقِيكَ مُضْطَرِبَةٌ مِنْ هَجْرِكَ، أَيْ رَبِّ أَوْدَعْتُ رُوحِيْ وَذاتِي فِي يَمِيْنِ اقْتِدارِكَ وَأَمانِكَ، وَأَضَعُ رَأْسِيْ عَلَى الفِراشِ بِحَوْلِكَ وَأَرْفَعُ عَنْهُ بِمَشِيَّتِكَ وَإِرادَتِك</w:t>
      </w:r>
      <w:r>
        <w:rPr>
          <w:rFonts w:cs="Traditional Arabic" w:ascii="Traditional Arabic" w:hAnsi="Traditional Arabic"/>
          <w:sz w:val="44"/>
          <w:szCs w:val="44"/>
          <w:rtl w:val="true"/>
        </w:rPr>
        <w:t xml:space="preserve">. </w:t>
      </w:r>
      <w:r>
        <w:rPr>
          <w:rFonts w:ascii="Traditional Arabic" w:hAnsi="Traditional Arabic" w:cs="Traditional Arabic"/>
          <w:sz w:val="44"/>
          <w:sz w:val="44"/>
          <w:szCs w:val="44"/>
          <w:rtl w:val="true"/>
        </w:rPr>
        <w:t>إِنَّكَ أَنْتَ الحافِظُ الحارِسُ المُقْتَدِرُ القَدِيْرُ</w:t>
      </w:r>
      <w:r>
        <w:rPr>
          <w:rFonts w:cs="Traditional Arabic" w:ascii="Traditional Arabic" w:hAnsi="Traditional Arabic"/>
          <w:sz w:val="44"/>
          <w:szCs w:val="44"/>
          <w:rtl w:val="true"/>
        </w:rPr>
        <w:t xml:space="preserve">. </w:t>
      </w:r>
      <w:r>
        <w:rPr>
          <w:rFonts w:ascii="Traditional Arabic" w:hAnsi="Traditional Arabic" w:cs="Traditional Arabic"/>
          <w:sz w:val="44"/>
          <w:sz w:val="44"/>
          <w:szCs w:val="44"/>
          <w:rtl w:val="true"/>
        </w:rPr>
        <w:t>وَعِزَّتِكَ لا أُرِيْدُ مِنَ النَّوْمِ وَلا مِنَ اليَقْظَةِ إِلاَّ ما أَنْتَ تُرِيْدُ، أَنَا عَبْدُكَ وَفِي قَبْضَتِكَ أَيِّدْنِيْ عَلَى ما يَتَضَوَّعُ بِهِ عَرْفُ رِضائِكَ، هذا أَمَلِي وَأَمَلُ المُقَرَّبِيْنَ الحَمْدُ لَكَ يا إِلهَ العالَمِيْنَ</w:t>
      </w:r>
      <w:r>
        <w:rPr>
          <w:rFonts w:cs="Traditional Arabic" w:ascii="Traditional Arabic" w:hAnsi="Traditional Arabic"/>
          <w:sz w:val="44"/>
          <w:szCs w:val="44"/>
          <w:rtl w:val="true"/>
        </w:rPr>
        <w:t xml:space="preserve">. </w:t>
      </w:r>
    </w:p>
    <w:p>
      <w:pPr>
        <w:pStyle w:val="Normal"/>
        <w:bidi w:val="1"/>
        <w:ind w:left="0" w:right="0" w:hanging="0"/>
        <w:jc w:val="both"/>
        <w:rPr>
          <w:rFonts w:ascii="Naskh MT for Bosch School" w:hAnsi="Naskh MT for Bosch School" w:cs="Naskh MT for Bosch School"/>
          <w:b/>
          <w:b/>
          <w:bCs/>
          <w:color w:val="000000"/>
          <w:sz w:val="32"/>
          <w:szCs w:val="32"/>
          <w:lang w:bidi="ar-AE"/>
        </w:rPr>
      </w:pPr>
      <w:r>
        <w:rPr>
          <w:rFonts w:cs="Naskh MT for Bosch School" w:ascii="Naskh MT for Bosch School" w:hAnsi="Naskh MT for Bosch School"/>
          <w:b/>
          <w:bCs/>
          <w:color w:val="000000"/>
          <w:sz w:val="32"/>
          <w:szCs w:val="32"/>
          <w:rtl w:val="true"/>
          <w:lang w:bidi="ar-AE"/>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00CC"/>
        <w:left w:val="threeDEngrave" w:sz="48" w:space="24" w:color="0000CC"/>
        <w:bottom w:val="threeDEmboss" w:sz="48" w:space="24" w:color="0000CC"/>
        <w:right w:val="threeDEmboss" w:sz="48" w:space="24" w:color="0000CC"/>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askh MT for Bosch School">
    <w:charset w:val="00"/>
    <w:family w:val="roman"/>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 w:name="Traditional Arab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center" w:pos="4680" w:leader="none"/>
        <w:tab w:val="right" w:pos="9360" w:leader="none"/>
      </w:tabs>
      <w:jc w:val="center"/>
      <w:rPr>
        <w:rFonts w:ascii="Courier New" w:hAnsi="Courier New" w:cs="Courier New"/>
        <w:color w:val="0000FF"/>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1"/>
      <w:ind w:left="0" w:right="360" w:hanging="0"/>
      <w:jc w:val="left"/>
      <w:rPr/>
    </w:pPr>
    <w:r>
      <w:rPr>
        <w:rFonts w:ascii="Traditional Arabic" w:hAnsi="Traditional Arabic" w:cs="Traditional Arabic"/>
        <w:color w:val="0000CC"/>
        <w:sz w:val="28"/>
        <w:sz w:val="28"/>
        <w:szCs w:val="28"/>
        <w:rtl w:val="true"/>
        <w:lang w:bidi="ar-JO"/>
      </w:rPr>
      <w:t xml:space="preserve">مناجاة </w:t>
    </w:r>
    <w:r>
      <w:rPr>
        <w:rFonts w:cs="Traditional Arabic" w:ascii="Traditional Arabic" w:hAnsi="Traditional Arabic"/>
        <w:color w:val="0000CC"/>
        <w:sz w:val="28"/>
        <w:szCs w:val="28"/>
        <w:rtl w:val="true"/>
        <w:lang w:bidi="ar-JO"/>
      </w:rPr>
      <w:t>(</w:t>
    </w:r>
    <w:r>
      <w:rPr>
        <w:rFonts w:cs="Traditional Arabic" w:ascii="Traditional Arabic" w:hAnsi="Traditional Arabic"/>
        <w:color w:val="0000CC"/>
        <w:sz w:val="28"/>
        <w:szCs w:val="28"/>
        <w:lang w:bidi="ar-JO"/>
      </w:rPr>
      <w:t>172</w:t>
    </w:r>
    <w:r>
      <w:rPr>
        <w:rFonts w:cs="Traditional Arabic" w:ascii="Traditional Arabic" w:hAnsi="Traditional Arabic"/>
        <w:color w:val="0000CC"/>
        <w:sz w:val="28"/>
        <w:szCs w:val="28"/>
        <w:rtl w:val="true"/>
        <w:lang w:bidi="ar-JO"/>
      </w:rPr>
      <w:t xml:space="preserve">) – </w:t>
    </w:r>
    <w:r>
      <w:rPr>
        <w:rFonts w:ascii="Traditional Arabic" w:hAnsi="Traditional Arabic" w:cs="Traditional Arabic"/>
        <w:color w:val="0000CC"/>
        <w:sz w:val="28"/>
        <w:sz w:val="28"/>
        <w:szCs w:val="28"/>
        <w:rtl w:val="true"/>
        <w:lang w:bidi="ar-JO"/>
      </w:rPr>
      <w:t xml:space="preserve">من آثار حضرة بهاءالله – مناجاة، </w:t>
    </w:r>
    <w:r>
      <w:rPr>
        <w:rFonts w:cs="Traditional Arabic" w:ascii="Traditional Arabic" w:hAnsi="Traditional Arabic"/>
        <w:color w:val="0000CC"/>
        <w:sz w:val="28"/>
        <w:szCs w:val="28"/>
        <w:lang w:bidi="ar-JO"/>
      </w:rPr>
      <w:t>138</w:t>
    </w:r>
    <w:r>
      <w:rPr>
        <w:rFonts w:cs="Traditional Arabic" w:ascii="Traditional Arabic" w:hAnsi="Traditional Arabic"/>
        <w:color w:val="0000CC"/>
        <w:sz w:val="28"/>
        <w:szCs w:val="28"/>
        <w:rtl w:val="true"/>
        <w:lang w:bidi="ar-JO"/>
      </w:rPr>
      <w:t xml:space="preserve"> </w:t>
    </w:r>
    <w:r>
      <w:rPr>
        <w:rFonts w:ascii="Traditional Arabic" w:hAnsi="Traditional Arabic" w:cs="Traditional Arabic"/>
        <w:color w:val="0000CC"/>
        <w:sz w:val="28"/>
        <w:sz w:val="28"/>
        <w:szCs w:val="28"/>
        <w:rtl w:val="true"/>
        <w:lang w:bidi="ar-JO"/>
      </w:rPr>
      <w:t xml:space="preserve">بديع، رقم </w:t>
    </w:r>
    <w:r>
      <w:rPr>
        <w:rFonts w:cs="Traditional Arabic" w:ascii="Traditional Arabic" w:hAnsi="Traditional Arabic"/>
        <w:color w:val="0000CC"/>
        <w:sz w:val="28"/>
        <w:szCs w:val="28"/>
        <w:lang w:bidi="ar-JO"/>
      </w:rPr>
      <w:t>172</w:t>
    </w:r>
    <w:r>
      <w:rPr>
        <w:rFonts w:ascii="Traditional Arabic" w:hAnsi="Traditional Arabic" w:cs="Traditional Arabic"/>
        <w:color w:val="0000CC"/>
        <w:sz w:val="28"/>
        <w:sz w:val="28"/>
        <w:szCs w:val="28"/>
        <w:rtl w:val="true"/>
        <w:lang w:bidi="ar-JO"/>
      </w:rPr>
      <w:t xml:space="preserve">، الصفحة </w:t>
    </w:r>
    <w:r>
      <w:rPr>
        <w:rFonts w:cs="Traditional Arabic" w:ascii="Traditional Arabic" w:hAnsi="Traditional Arabic"/>
        <w:color w:val="0000CC"/>
        <w:sz w:val="28"/>
        <w:szCs w:val="28"/>
        <w:lang w:bidi="ar-JO"/>
      </w:rPr>
      <w:t>177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eastAsia="MS Mincho;ＭＳ 明朝"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eastAsia="MS Mincho;ＭＳ 明朝" w:cs="Arial"/>
      <w:b/>
      <w:bCs/>
      <w:i/>
      <w:iCs/>
      <w:sz w:val="28"/>
      <w:szCs w:val="28"/>
    </w:rPr>
  </w:style>
  <w:style w:type="character" w:styleId="DefaultParagraphFont">
    <w:name w:val="Default Paragraph Font"/>
    <w:qFormat/>
    <w:rPr/>
  </w:style>
  <w:style w:type="character" w:styleId="NormalBNEChar">
    <w:name w:val="Normal BNE Char"/>
    <w:qFormat/>
    <w:rPr>
      <w:rFonts w:ascii="Naskh MT for Bosch School" w:hAnsi="Naskh MT for Bosch School" w:eastAsia="SimSun;宋体" w:cs="Naskh MT for Bosch School"/>
      <w:color w:val="000000"/>
      <w:sz w:val="28"/>
      <w:szCs w:val="28"/>
      <w:lang w:bidi="ar-JO"/>
    </w:rPr>
  </w:style>
  <w:style w:type="character" w:styleId="PlainTextChar">
    <w:name w:val="Plain Text Char"/>
    <w:qFormat/>
    <w:rPr>
      <w:rFonts w:ascii="Courier New" w:hAnsi="Courier New" w:eastAsia="MS Mincho;ＭＳ 明朝" w:cs="Courier New"/>
      <w:lang w:val="en-US" w:bidi="ar-SA"/>
    </w:rPr>
  </w:style>
  <w:style w:type="character" w:styleId="PageNumber">
    <w:name w:val="Page Number"/>
    <w:basedOn w:val="DefaultParagraphFont"/>
    <w:rPr/>
  </w:style>
  <w:style w:type="character" w:styleId="FooterChar">
    <w:name w:val="Footer Char"/>
    <w:qFormat/>
    <w:rPr>
      <w:sz w:val="24"/>
      <w:szCs w:val="24"/>
    </w:rPr>
  </w:style>
  <w:style w:type="character" w:styleId="BalloonTextChar">
    <w:name w:val="Balloon Text Char"/>
    <w:qFormat/>
    <w:rPr>
      <w:rFonts w:ascii="Tahoma" w:hAnsi="Tahoma" w:cs="Tahoma"/>
      <w:sz w:val="16"/>
      <w:szCs w:val="16"/>
    </w:rPr>
  </w:style>
  <w:style w:type="character" w:styleId="Heading1Char">
    <w:name w:val="Heading 1 Char"/>
    <w:qFormat/>
    <w:rPr>
      <w:rFonts w:ascii="Arial" w:hAnsi="Arial" w:eastAsia="MS Mincho;ＭＳ 明朝" w:cs="Arial"/>
      <w:b/>
      <w:bCs/>
      <w:kern w:val="2"/>
      <w:sz w:val="32"/>
      <w:szCs w:val="32"/>
    </w:rPr>
  </w:style>
  <w:style w:type="character" w:styleId="Heading2Char">
    <w:name w:val="Heading 2 Char"/>
    <w:qFormat/>
    <w:rPr>
      <w:rFonts w:ascii="Arial" w:hAnsi="Arial" w:eastAsia="MS Mincho;ＭＳ 明朝" w:cs="Arial"/>
      <w:b/>
      <w:bCs/>
      <w:i/>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BNE">
    <w:name w:val="Normal BNE"/>
    <w:basedOn w:val="Normal"/>
    <w:qFormat/>
    <w:pPr>
      <w:bidi w:val="1"/>
      <w:spacing w:before="280" w:after="280"/>
      <w:ind w:left="0" w:right="0" w:hanging="0"/>
      <w:jc w:val="center"/>
    </w:pPr>
    <w:rPr>
      <w:rFonts w:ascii="Naskh MT for Bosch School" w:hAnsi="Naskh MT for Bosch School" w:eastAsia="SimSun;宋体" w:cs="Naskh MT for Bosch School"/>
      <w:color w:val="000000"/>
      <w:sz w:val="28"/>
      <w:szCs w:val="28"/>
      <w:lang w:bidi="ar-JO"/>
    </w:rPr>
  </w:style>
  <w:style w:type="paragraph" w:styleId="PlainText">
    <w:name w:val="Plain Text"/>
    <w:basedOn w:val="Normal"/>
    <w:qFormat/>
    <w:pPr/>
    <w:rPr>
      <w:rFonts w:ascii="Courier New" w:hAnsi="Courier New" w:eastAsia="MS Mincho;ＭＳ 明朝" w:cs="Courier New"/>
      <w:sz w:val="20"/>
      <w:szCs w:val="20"/>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2016-05-27T19:02:00Z</dcterms:created>
  <dc:creator/>
  <dc:description/>
  <dc:language>en-US</dc:language>
  <cp:lastModifiedBy/>
  <dcterms:modified xsi:type="dcterms:W3CDTF">2016-05-27T19:02:00Z</dcterms:modified>
  <cp:revision>1</cp:revision>
  <dc:subject/>
  <dc:title/>
</cp:coreProperties>
</file>