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عظم ال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به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ى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يا إلهي هذا غصن انشعب من دوحة فردانيّتك وسدرة وحدانيّتك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تراه يا إلهي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ناظر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ليك ومتمسّك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بحبل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لطافك فاحفظه في جوار رحمتك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أنت تعلم يا إلهي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نّي ما أريده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لّا بما أردته وما اخترته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بما اصطفيته فانصره بجنود أرضك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وسمائك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وانصر يا إلهي من نصره ثمّ اختر من اختاره وأيّد من أقبل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ليه ثمّ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اخذل من أنكره ولم يرده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 ربّ تر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حين الوحي يتحرّك قلمي وترتعش أركاني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أسألك بولهي في حبّك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وشوقي في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ظهار أمرك بأن تقدّر له ولمحبّيه ما قدّرته لسفرائك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مناء وحيك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نّك أنت اللّه المقتدر القدير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109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