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0"/>
          <w:szCs w:val="40"/>
        </w:rPr>
      </w:pPr>
      <w:r>
        <w:rPr>
          <w:rFonts w:ascii="Simplified Arabic" w:hAnsi="Simplified Arabic" w:eastAsia="Arial Unicode MS" w:cs="Simplified Arabic"/>
          <w:b/>
          <w:b/>
          <w:bCs/>
          <w:sz w:val="40"/>
          <w:sz w:val="40"/>
          <w:szCs w:val="40"/>
          <w:rtl w:val="true"/>
        </w:rPr>
        <w:t>هُوَ الحيّ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Simplified Arabic" w:cs="Simplified Arabic" w:ascii="Simplified Arabic" w:hAnsi="Simplified Arabic"/>
          <w:sz w:val="28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شجره عما در حركت است و سدرهء وفا در بهجت  تا دوحه بقا در ارض احديّه مغروس شود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ورقه نوراء از فنون لقا بورقاء مقرون گردد كه شايد از مؤانست اين دو لطيفه ربّانی و دو دقيقه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صمدانی طلعت ثالثی پيدا شود تا نتيجه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(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فعزّزنا بثالث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)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 عرصه ظهور مشهود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آيد و السّلام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ألواح النكاح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298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