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الها معبودا مسجودا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بيك كلمه از كلمات عليا ارض و سما را خلق فرمودی و بيك قطره از دريای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جودت وجود را موجود نمودی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مقتدری كه قوّت و قدرت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جبابره ارض و فراعنه بلاد ترا از اراده منع ننمود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كريم فقيری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ببابت توجّه نموده و ضعيفی بحبل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اقتدارت تمسّك جسته از تو كرم قديمت را ميطلبد و عفو جديدت را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سائل و آمل او را از دريای فضلت محروم منما و از كوثر زندگانی ابدی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ممنوع مساز توئی قادر و توانا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پروردگار ذرّات عالم بر غنايت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گواهند و بر فضلت مقرّ و معترف، آيا مثل تو غنی مثل منی فقير را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محروم مينمايد؟ حاشا و كلّا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أشهد و يشهد كلّ 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شياء بأنّك أنت أكرم الأكرمين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أرحم الرّاحمين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– من آثار حضر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صفحه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339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