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الأقْدَسُ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الأبهى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jc w:val="both"/>
        <w:rPr/>
      </w:pP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الحَمْدُ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فَجْرُ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عِيْدَكَ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الرِّضْوانِ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وَفازَ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قْبَلَ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يَرْكُضُوْنَ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شَوْقًا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لِجَمَالِكَ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عُوْا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الوُرُوْدِ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سَاحَةِ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عِّزِ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أحَديَّتِكَ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اكْتَسَبَتْ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أعْدَائِكَ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كَفَرُوا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وَبِسُلْطانِكَ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فانْظُرْ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طُغاةَ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بِلِحاظِ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قَهْرِكَ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بَلَغُوا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الظُّلْمِ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يُحْصيَهُ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العَلِيْمُ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رَضَوْا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حِبَّتُكَ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بِالسِّجْنِ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والدُّخُوْلِ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يَرْضَوْنَ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بَغْيًا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طُوْبى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لِبَصِيْرٍ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سَبِيْلِكَ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عُلُوَّ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مَقامِهِ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عْلاء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يجْتَمِعُنَّ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بَهاءِ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يَقْدِرُنَّ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يَرَوْنَهُ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ضُرًّا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صْفِيائِكَ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نُوْرٌ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وَنارٌ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عْدائِكَ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اسْتَقَر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مَطْلَعُ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قَيُّومِيَّتِكَ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السِّجْنِ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عْظَمِ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نْتَشِرُ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سُلْطانُكَ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ويَعْل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اقْتِدارُكَ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ُبَرْهَنُ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</w:t>
      </w:r>
      <w:r>
        <w:rPr>
          <w:rFonts w:cs="Simplified Arabic"/>
          <w:sz w:val="36"/>
          <w:sz w:val="36"/>
          <w:szCs w:val="36"/>
          <w:rtl w:val="true"/>
        </w:rPr>
        <w:t>مَلْتُ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البلايا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وَلِخَلْقِكَ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افْتَحْ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لِيَرَوْنَكَ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حْوالِ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مُسْتِويًا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وَمُهَيْمِنًا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قَديْرُ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ألواح الرضوان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