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تَع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نُهُ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نايَةُ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وَالأ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لْطافُ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سُبْحَاَنكَ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إِلِهي،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وَقُوَّتِكَ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وَسُلْطَاِنكَ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وَبتَوْحِيدِ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وَتَفْريِدِ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كَيْنُونَتِكَ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وَبِتَقْدِيسِكَ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وَتَنْزيِه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تَرَانِي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مُنْقَطِعًا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وَمُتَمَسِّكًا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وَمُقْبِلاً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حَامِلَ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أَمَانَتِكَ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الْرُّوْحُ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ظْهَرْتَ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لِلْعَالَمِ،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بِتَجَلِّيَاتِ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نَيِّرِ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تَقْبَلَ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اجْعَلْهُ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مُزَي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وَمطَرّ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بقَبُولِكَ،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الكَائِنَاتُ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بِقُدْرَتِكَ،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تُخَيِّبَ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فِرْدَوْسِكَ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وَجَنَّتِكَ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الْوَرَى،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اجْعَلْ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مُعَاشِرًا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أَصْفِيَائِكَ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وَأَوْلِيَائِكَ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وَأَنْبِيَائِكَ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الْمَقَاماتِ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الأَقْلاَمُ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وَالأَلْسُنُ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الفَقِيرَ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قَصَدَ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الغَرِيْبَ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وَطَنَهُ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وَالعَطْشَانَ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كَوْثرَ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طَعْ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مَائِدَةَ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نِعْمَةَ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الْفَضَّالُ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أَمَانَتُكُ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يَنْبَغي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أَحَاطَ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وَمَلَكُوتَكَ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ضَيْفِكَ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الْبَدِيعِ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ثْمَارَ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أَشْجَارِ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تَشَاءُ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الفَيَّاضُ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العَطَّافُ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الكَرَّامُ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الغَفَّارُ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الْعَلاَّمُ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النّاسَ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بإِكْرَام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ِالضُّيُوفِ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فَاعْمَلْ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يَنْبَغِي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مُوْقِنًا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تَمْنَعُ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تَحْرِمُ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تَمَسَّكَ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بِحَبْلِ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غَنَائِكَ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الْفَرْدُ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الْوَاحِدُ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الْعَلِيمُ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الْوَهَّابُ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