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قُل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ي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عَظَمَت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ائِعَ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تُؤَ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تُحِبُّ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فَوَّضَ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ُقَرِّب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زِمامُ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ضَّال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مَنَعَت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الأُمَم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قامُوا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رَبُّنا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ورَبُّ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