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بِسْمِ رَبِّنَا الأَقْدَسِ الأَعْظَمِ العَلِيِّ الأَبْهَى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left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إِلهِي إِلهِي اجْعَلْ حِفْظَكَ يَمِينِي وَحِرْزَكَ يَسَارِي وَذِكْرَكَ أَمَامِي وَثَنَائَكَ فَوْقَ رَأْسِيْ، أَسْئَلُكَ بِآيَاتِكَ الَّتِي مَا أحصاها دونُكَ وبِأَسْرارِكَ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لَعَ بِهَا غَيْرُكَ بِأَنْ تُؤَيِّدَ عِبَادَكَ عَلَى مَا يَنْبَغِي لأَيَّامِكَ، ثُمَّ انْصُرْ الَّذِي يَا إِلهِي أَقْبَلَ إِلَيْكَ وَتَمَسَّكَ بِحَب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لِكَ وَعَمِلَ مَا أَمَرْتَهُ بِهِ فِي كِتَابِكَ، إِنَّكَ أَنْتَ الْفَضَّالُ الْكَرِيمُ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مناجاة – من آثار حضرة بهاءالله – أدعية مباركة، المجلد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