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4"/>
          <w:sz w:val="44"/>
          <w:szCs w:val="44"/>
          <w:rtl w:val="true"/>
          <w:lang w:bidi="fa-IR"/>
        </w:rPr>
        <w:t>﴿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4"/>
          <w:sz w:val="44"/>
          <w:szCs w:val="44"/>
          <w:rtl w:val="true"/>
        </w:rPr>
        <w:t xml:space="preserve"> هُوَ اللّهُ تَعَالَی شَأْنُهُ الکِبْرِ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4"/>
          <w:sz w:val="44"/>
          <w:szCs w:val="44"/>
          <w:rtl w:val="true"/>
          <w:lang w:bidi="fa-IR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4"/>
          <w:sz w:val="44"/>
          <w:szCs w:val="44"/>
          <w:rtl w:val="true"/>
        </w:rPr>
        <w:t xml:space="preserve">يَاء 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4"/>
          <w:sz w:val="44"/>
          <w:szCs w:val="44"/>
          <w:rtl w:val="true"/>
          <w:lang w:bidi="fa-IR"/>
        </w:rPr>
        <w:t>﴾</w:t>
      </w:r>
    </w:p>
    <w:p>
      <w:pPr>
        <w:pStyle w:val="PlainText"/>
        <w:tabs>
          <w:tab w:val="left" w:pos="7800" w:leader="none"/>
        </w:tabs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ab/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ای سلمان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در هر امور اقتدا بحق کن و بقضايای الهی راضی باش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ملاحظه کن که اين غلام مع انکه از جميع جهات بر حسب ظاهر امور بر او سخت شده و ابواب ظاهره مسدود گشته و در کلّ حين شياطين بر اطفاء سراج اللّه و اخماد نار او مشغولند چنان منير و مستض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>یء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است که بِه أشرقت السّموات و الأرض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چنان ما بين ناس مشهود که گويا ابداً ضرّی بر او وارد نشده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از علوّ و دنوّ و عزّت و ذلّت دنيا منال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در کلّ أحوال بما ناظر باش چه که کل آنچه مشهود مفقود خواهد شد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اينکه مشاهده مينمائی که بعضی از ناس بعزّت دنيا مسرورند و بعلوّ آن مغرور اين از غفلت آن نفوس است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هر ذی بصر و ذی نظری شهادت ميدهد که اين قول حق است و اين بيان از مشرق تبيان اشراق نموده چه که کلّ عالمند باينکه جميع اين امورات غير معتبر و غير ثابت است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چون رسول موت وارد شود جميع متغيّر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لذا معلوم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محقّق است نفوسيکه باين امور دل بسته‌اند غافلند و از غفلت است که باين أسباب ظاهره مشغول شده‌اند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در لوحی از الواح نازل که از جمله علامت بلوغ دنيا آن است که نفسی تحمل امر سلطنت ننمايد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سلطنت بماند و احدی اقبال نکند که وحده تحمّل آن نمايد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آن أيّام أيّام ظهور عقل است ما بين بريّه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مگر انکه نفسی لإظهار أمر اللّه و انتشار دين او حمل اين ثقل عظيم نمايد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نيکو است حال او که لحبّ اللّه و أمره و لوجه اللّه و إظهار دينه خود را باين خطر عظيم اندازد و قبول اين مشقّت و زحمت نمايد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اين است که در الواح نازل که دعای چنين سلطان و محبّت او لازم است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ای سلمان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دنيا در مرور است و عنقريب کلّ مَنْ علی الأرض از آنچه مشاهده مينمائی بتراب راجع خواهند شد</w:t>
      </w:r>
      <w:r>
        <w:rPr>
          <w:rFonts w:ascii="Naskh MT for Bosch School" w:hAnsi="Naskh MT for Bosch School" w:eastAsia="MS Mincho;ＭＳ 明朝" w:cs="Naskh MT for Bosch School"/>
          <w:color w:val="FF0000"/>
          <w:sz w:val="32"/>
          <w:sz w:val="32"/>
          <w:szCs w:val="32"/>
          <w:rtl w:val="true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از خدا ميطلبيم که جميع احبّای خود را مؤيّد فرمايد که استنشاق طيب گلزار معنوی نمايند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هر نفسی بآن فائز شد ابدا بغير اللّه ناظر نبوده و نخواهد بود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 بقضايای او راضی و صابر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شاکر خواهد شد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محزون مباش که بلقاء فائز نشدی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قد کتب اللّه لک أجرَ من حضر بين يديه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إن شاء اللّه سعی کن که از تو اعمال حق ظاهر شود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 بناری مشتعل باشی که جميع از تو کسب حرارت کنند أن أَقْبِل الی اللّه بقلب طاهر و نفس زکيّة و لسان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صادق و بصر مقدّس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ثمّ ادعوه فی کلّ الأحوال إنّه معينُ مَنْ أقبل إليه و إنّه لهو الغفور الرّحيم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قد سمعنا ضجيجَ الأسراء من أهلی و أحبّتی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للّه الحمد بما جعلونی و أهلی و أحبّتی أساری فی سبيله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لو تزول الشّمسُ لا يزول هذا الذّکر فسوف يظهرُ اللّه ما أراد إنّه لهو العزيز القدير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از برای احدی از اسراء إلّا اسم اللّه ميم عليه بهاء اللّه نظر بحکمت لوح نازل نشد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لکن جميعرا تکبير برسانيد و امور کل مشهود است يک لوح مخصوص جناب عبدالوهّاب نازل شد برسانيد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لو نزل بلسان القوم و قواعدهم الظّاهرة و لکن يکفی مَنْ علی الأرض لو هم يشعرون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در الواح اطراف اسم معيّن نشده و لکن عند اللّه معلوم و مشهود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 هر يک از الواح باقتضاء نازل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طوبی لمن يعرفُ و يکونُ من الشّاکرين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يک جعبه نبات بجهت حضرات موصل داده شد برسانيد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نسألک اللّهمّ بالّذين جعلهم الأشقياءُ أساری من الزّوراء إلی الحدباء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 بالنّسبة الّتی کانت بينهم و بين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مظهر أمرک بأن تثبّتَ أحبّاءَک علی حبّک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ثمّ استقمهم علی ما کانوا عليه فی انتشار أمرک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فيا إلهی أنت تری و تعلم ما ورد عليهم فی حبّک و رضائک بحيث بَکتْ عليهم عيونُ أصفيائک و أهلُ سرادق مجدک أسألک بأن لا تحرمهم من عواطفک و ألطافک ثمّ أسکنهم فی جوار رحمتک فی الدُّنيا و الآخرة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إنّک انت علی کلّ ش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يء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قدير</w:t>
      </w:r>
      <w:r>
        <w:rPr>
          <w:rFonts w:ascii="Naskh MT for Bosch School" w:hAnsi="Naskh MT for Bosch School" w:eastAsia="MS Mincho;ＭＳ 明朝" w:cs="Naskh MT for Bosch School"/>
          <w:color w:val="FF0000"/>
          <w:sz w:val="32"/>
          <w:sz w:val="32"/>
          <w:szCs w:val="32"/>
          <w:rtl w:val="true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سلمان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2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اثر حضرت بهاءالله – مجموعه الواح مباركه چاپ مصر صفحه </w:t>
    </w:r>
    <w:r>
      <w:rPr>
        <w:rFonts w:cs="Naskh MT for Bosch School" w:ascii="Naskh MT for Bosch School" w:hAnsi="Naskh MT for Bosch School"/>
        <w:color w:val="0000CC"/>
        <w:lang w:bidi="ar-JO"/>
      </w:rPr>
      <w:t>124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-</w:t>
    </w:r>
    <w:r>
      <w:rPr>
        <w:rFonts w:cs="Naskh MT for Bosch School" w:ascii="Naskh MT for Bosch School" w:hAnsi="Naskh MT for Bosch School"/>
        <w:color w:val="0000CC"/>
        <w:lang w:bidi="ar-JO"/>
      </w:rPr>
      <w:t>128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fa-IR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  <w:lang w:bidi="fa-I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  <w:lang w:bidi="ar-SA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