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vbaProject.bin" ContentType="application/vnd.ms-office.vbaProjec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100" w:after="100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قَدْ نُزِّلَ لِأَحَدٍ مِنَ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طِبَّاءِ عَلَيْهِ بَهَاء اللّه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 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>هو اللّه ال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علم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لسان 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دَم ينطق بما يكون غنية الألبّاء عند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غيبة الأطباء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قل يا قوم لا تأكلوا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لّا بعد الجوع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 تشربوا بعد الهجوع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نِعم الرّياضة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الخلاء بها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تقو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الأعضاء وعند الامتلاء داهية دهماء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 تترك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العلاج عند الاحتياج ودعه عند استقامة المزاج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 تباشر الغذاء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لّا بعد الهضم ولا تزدرد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لّا بعد أن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يكمل القضم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عالج العل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 أوّلا بالأغذية ولا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تجاوز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الأدوية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إن حصل لك ما أردت من المفردات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 تعدل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المرك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دع الد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واء عند السّلامة وخذه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عند الحاجة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اجتمع الضد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الخوان لا تخلطهما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فاقنع بواحد منهما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بادر أوّلا بالرّقيق قبل الغليظ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بالمائع قبل الجامد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إدخال الط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عام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عام خطر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كن منه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حذر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ذا شرعت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الأكل فابتدئ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باسمي الأبه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ثمّ اختم باسم ربّك مالك العرش والثّر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 وإ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ذا أكلت فامش قليلا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لاستقرار الغذاء وما عسر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قضمه منهيّ عنه عند أولي النّه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كذلك يأمرك القلم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أكل القليل في الصّباح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نّه للبدن مصباح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اترك العادة المضرّة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نّها بليّة للبريّة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قابل الأمراض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بالأسباب وهذا القول في هذا الباب فصل الخطاب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أن الزم القناعة في كلّ الأحوال بها تسلم النّفس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 الكسالة وسوء الحال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أن اجتنب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الهمّ والغمّ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بهما يحدت بلاء أدهم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قل الحسد يأكل الجسد والغيظ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يحرق الكبد أن اجتنبوا منهما كما تجتنبون من الأسد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تنقية الفضول هي العمدة ولكن في الفصول المعتدلة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الّذي تجاوز أكله تفاقم سقمه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 قد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رنا لكلّ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شيء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سببا وأعطيناه أثرا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كلّ ذلك من تجلّي اسمي المؤثّر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الأشياء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 ربّك هو الحاكم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يشاء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قل بما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بيّنّاه لا يتجاوز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خلاط عن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عتدال ولا مقاديرها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عن الأحوال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يبق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الأصل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صفائه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والسّدس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سدس السّدس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حاله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ويسلم الفاعلان والمنفعلان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اللّه التّكلان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 إله إلّا هو الشّافي العليم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المستعان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جر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ى 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القلم الأعل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مثل تلك الكلمات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لّا لحبّي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يّاك لتعلم بأنّ الهمّ ما أخذ جمال القدم ولم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يحزن عمّا ورد عليه من الأمم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والحزن لمن يفوت منه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ولا يفوت عن قبضته من في السّموات والأرضين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طبيب اشف المرض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أوّلا بذكر ربّك مالك يوم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ناد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ثمّ بما قد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رنا لصحّة أمزجة العباد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لعمري الط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الّذي شرب خمر حبّي لقاءه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شفاء ونفسه رحمة ورجاء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قل تمسّكوا به لاستقامة المزاج إنّه مؤيّد من اللّه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للعلاج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قل هذا العلم أشرف العلوم كلّها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نّه السّبب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الأعظم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اللّه محيي الرّمم لحفظ أجساد الأمم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مه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العلوم والحكم ولكنّ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اليوم اليوم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تقوم عل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نصرتي منقطعا عن العالمين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قُلْ يَا إِلَهِي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اسْمُكَ شِفَائِي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وَذِكْرُكُ دَوَائِي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وَقُرْبُكَ رَجَائِي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وَحُب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مُؤْنِسِي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وَرَحْمَتُكَ طَبِيْبِي وَمُعِيْنِي فِي الد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نْيا وَالآخِرَةِ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نَّكَ أَنْتَ المُعْطِي العَلِيْمُ الحَكِيْمُ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جميع أحبّا را من قبل اللّه تکبير برسانيد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بگو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اليوم دو أمر محبوب و مطلوب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يکی حکمت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بيان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ثانی الاستقامة علی أمر ربّکم الرّحمن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نفسی باين دو أمر فائز شد عند اللّه از أهل مدينه بقا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محسوب و مذکور چه که باين دو امر امر الهی ما بين عباد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ثابت شده و خواهد شد چه اگر حکمت و بيان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نباشد کلّ مبتلا خواهند 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اينصورت نفسی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باقی نه تا ناس را بشريعه أحديّه هدايت 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استقامت نباشد نفس ذاکر مؤثّر نخواهد بود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بگو ای دوستان خوف و اضطراب شأن نسوان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اگر أحبّای الهی فی الجمله تفکّر نمايند در دنيا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اختلافات ظاهره در او لا تخوّفهم سطوة الّذين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ظلموا و يطيرنّ بأجنحة الاشتياق الی نيّر الآفاق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عبد انچه از برای خود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خواسته‌ام از برای کلّ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دوستان حقّ خواسته‌ام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اينکه بحکمت و حفظ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امر شده و ميشود مقصود اين است که ذاکرين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أرض بمانند تا بذکر ربّ العالمين مشغول شوند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لذا بر کلّ حفظ نفس خود و اخوان لأمر اللّه واجب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لازم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اگر أحبّاء عامل بودند بانچه مأمورند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حال أکثر من علی الأرض بردای ايمان مزيّن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بودند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طوبی از برای نفسيکه نفسی را بشريعه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باقيه کشاند و بحياة أبديّه دلالت 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هذا من أعظم الأعمال عند ربّک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العزيز المتعال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الرّوح عليک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البهاء عليک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jc w:val="both"/>
        <w:rPr>
          <w:rFonts w:ascii="Traditional Arabic;Times New Roman" w:hAnsi="Traditional Arabic;Times New Roman" w:eastAsia="MS Mincho;ＭＳ 明朝" w:cs="Traditional Arabic;Times New Roman"/>
          <w:color w:val="000000"/>
          <w:sz w:val="48"/>
          <w:szCs w:val="48"/>
          <w:lang w:bidi="ar-JO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000000"/>
          <w:sz w:val="48"/>
          <w:szCs w:val="48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raditional Arabic">
    <w:altName w:val="Times New Roman"/>
    <w:charset w:val="00"/>
    <w:family w:val="roman"/>
    <w:pitch w:val="variable"/>
  </w:font>
  <w:font w:name="Simplified Arabic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 w:val="24"/>
        <w:szCs w:val="28"/>
      </w:rPr>
    </w:pPr>
    <w:r>
      <w:rPr>
        <w:rFonts w:cs="Courier New" w:ascii="Courier New" w:hAnsi="Courier New"/>
        <w:color w:val="0000FF"/>
        <w:sz w:val="24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Simplified Arabic;Times New Roman" w:hAnsi="Simplified Arabic;Times New Roman" w:cs="Simplified Arabic;Times New Roman"/>
        <w:color w:val="0000CC"/>
        <w:sz w:val="24"/>
        <w:sz w:val="24"/>
        <w:szCs w:val="24"/>
        <w:rtl w:val="true"/>
        <w:lang w:bidi="ar-JO"/>
      </w:rPr>
      <w:t xml:space="preserve">لوح الطب – اثر حضرت بهاءالله 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rtl w:val="true"/>
        <w:lang w:bidi="ar-JO"/>
      </w:rPr>
      <w:t xml:space="preserve">- </w:t>
    </w:r>
    <w:r>
      <w:rPr>
        <w:rFonts w:ascii="Simplified Arabic;Times New Roman" w:hAnsi="Simplified Arabic;Times New Roman" w:cs="Simplified Arabic;Times New Roman"/>
        <w:color w:val="0000CC"/>
        <w:sz w:val="24"/>
        <w:sz w:val="24"/>
        <w:szCs w:val="24"/>
        <w:rtl w:val="true"/>
        <w:lang w:bidi="ar-JO"/>
      </w:rPr>
      <w:t xml:space="preserve">مجموعه الواح مباركه – </w:t>
    </w:r>
    <w:r>
      <w:rPr>
        <w:rFonts w:ascii="Simplified Arabic;Times New Roman" w:hAnsi="Simplified Arabic;Times New Roman" w:cs="Simplified Arabic;Times New Roman"/>
        <w:color w:val="0000CC"/>
        <w:sz w:val="24"/>
        <w:sz w:val="24"/>
        <w:szCs w:val="24"/>
        <w:rtl w:val="true"/>
        <w:lang w:bidi="fa-IR"/>
      </w:rPr>
      <w:t xml:space="preserve">چاپ مصر 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rtl w:val="true"/>
        <w:lang w:bidi="fa-IR"/>
      </w:rPr>
      <w:t xml:space="preserve">- </w:t>
    </w:r>
    <w:r>
      <w:rPr>
        <w:rFonts w:ascii="Simplified Arabic;Times New Roman" w:hAnsi="Simplified Arabic;Times New Roman" w:cs="Simplified Arabic;Times New Roman"/>
        <w:color w:val="0000CC"/>
        <w:sz w:val="24"/>
        <w:sz w:val="24"/>
        <w:szCs w:val="24"/>
        <w:rtl w:val="true"/>
        <w:lang w:bidi="fa-IR"/>
      </w:rPr>
      <w:t>صفحه</w:t>
    </w:r>
    <w:r>
      <w:rPr>
        <w:rFonts w:ascii="Simplified Arabic;Times New Roman" w:hAnsi="Simplified Arabic;Times New Roman" w:cs="Simplified Arabic;Times New Roman"/>
        <w:color w:val="0000CC"/>
        <w:sz w:val="24"/>
        <w:sz w:val="24"/>
        <w:szCs w:val="24"/>
        <w:rtl w:val="true"/>
        <w:lang w:bidi="ar-JO"/>
      </w:rPr>
      <w:t xml:space="preserve">  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lang w:bidi="ar-JO"/>
      </w:rPr>
      <w:t>222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rtl w:val="true"/>
        <w:lang w:bidi="ar-JO"/>
      </w:rPr>
      <w:t xml:space="preserve"> - 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lang w:bidi="ar-JO"/>
      </w:rPr>
      <w:t>226</w:t>
    </w:r>
    <w:r>
      <w:rPr>
        <w:rFonts w:cs="Simplified Arabic;Times New Roman" w:ascii="Simplified Arabic;Times New Roman" w:hAnsi="Simplified Arabic;Times New Roman"/>
        <w:color w:val="0000CC"/>
        <w:sz w:val="24"/>
        <w:szCs w:val="24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100" w:after="100"/>
      <w:jc w:val="center"/>
      <w:outlineLvl w:val="1"/>
    </w:pPr>
    <w:rPr>
      <w:b/>
      <w:bCs/>
      <w:color w:val="111144"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100" w:after="100"/>
      <w:jc w:val="center"/>
      <w:outlineLvl w:val="2"/>
    </w:pPr>
    <w:rPr>
      <w:b/>
      <w:bCs/>
      <w:color w:val="222255"/>
      <w:sz w:val="27"/>
      <w:szCs w:val="27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4834"/>
      <w:u w:val="single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