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الذ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ي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بذکره تحيی قلو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أهل الملأ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الأعلی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سبحانک اللّهمّ يا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تشهد وتری کيفَ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ابْتُلِيتُ بين عبادک بعد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أردتُ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الخضوعَ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لدی باب رحمتک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فتحته علی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أرضک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سمائک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وما أمرتهم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بما أمرتن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وما دعوتُهم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بما بعثتَن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فوعزّتک ما أردتُ أن أسْتَعلی علی أحد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بشأن من الشّئون وما أردتُ أن أفتخرَ عليهم بما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أعطيتَن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بجودک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فضالک لأنّ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لا أجد يا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ظهورا تلقاء ظهورک ولا أمرا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رادتک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حين نطق فؤاد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يا ليت کنتُ ترابا تقع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عليه وجوه المخلصين من أحبّائک والمقرّبين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أصفيائک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 يتوجّه ذو أُذُن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أرکان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لَيسمعُ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وباطن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وقلب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وعروق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وجوارح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ليت يظهر منّ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تفرح به قلوب الّذين ذاقوا حلاوةَ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العليّ الأعلی ويَصعدُ بِندائ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أحدٌ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جبروت أمرک وملکوت عرفانک يا من بيدک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ملکوتُ البقاء وناسوتُ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نشاء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قلتُ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ملأ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نشاء ما أردتُ بذلک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أمرَک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أظهرتن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وبعثتن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لِيتوجّهنَّ الکلُّ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مقرّ وحدانيّتک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مقعد عزّ فردانيّتک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وأنت تعلم يا محبوبَ البهاء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مقصودَ البهاء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ما أراد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حبّکَ ورضاءَک ويريد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أن تطهّرَ قلوبُ عبادک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شارات النّفس والهوی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تُبلِّغهم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مدينة البقاء ليتّحدوا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أمرک ويجتمعوا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شريعة رضائک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عزّتک يا محبوب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لو تُعذِّبن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حين ببلاءٍ جديد لأحَبُّ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يَحدُثَ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 أحبّائک ما يکدّرُ به قلوبهم ويتفرَّق به اجتماعهم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لأنّک ما بعثتن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لاتّحادهم علی أمرک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لا يقوم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معه خلق سمائک وأرضک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عراضِهم عمّا سواک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قبالِهم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أُفق عزّ کبريائک وتوجّههم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شطر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رضائک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نزل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سحاب عنايتک الخفيّة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يُطهِّرُهم عن الأحزان وعن حدودات البشريّة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لِيجدَنّ منهم أهلُ الملأ الأعلی روائحَ التّقديس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الانقطاع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ثمَّ أيّدهم يا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التّوحيد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أردتَه وهو أن لا ينظر أحد أحدا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وقد ينظر فيه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جلّيَ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تجلّيتَ له به لهذا الظّهور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أخذتَ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عهده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ذرّ البيان عمّن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الأکوان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ومن کان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ناظرا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هذا المقام الأعزّ الأعلی وهذا الشّأن الأکبر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الأسنی لن يستکبِرَ علی أحد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للّذين فازوا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بهذا المقام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يعاشرون معهم بالرّ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وح والرَّيحان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التَّوحيد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 تزل أحببتَه وقدَّرته للمخلصين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عبادک والمقرَّبين من بريَّتک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أسألک يا مالک الملوک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باسمک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منه شرَعتَ شريعةَ الحبّ والوداد 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العباد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تُحدِثَ بين أحبّائ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يجعلهم متَّحدين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الشّئون لِتظهرَ منهم آيات توحيدک بين بريّتک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ظهورات التّفريد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مملکتک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أنت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ما تشاء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إله إلّا أنت المهيمن القيّوم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قلم أعلی 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دوستان حقّ مقصود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حمل اين رزايای متواتره و بلايای متتابعه انکه نفوس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موقنه باللّه با کمال اتّحاد با يکديگر سلوک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بشأنيکه اختلاف و أثنينيّت و غيريّت از ما بين محو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شود الّا در حدودات مخصوصه که در کتب الهيّه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نازل شده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انسان بصير در هيچ أمری از أمور نقصی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او وارد نه انچه وارد شود دليل است بر عظمت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شأن و پاکی فطرت او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مثلا اگر نفسی للّه خاضع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برای دوستان الهی اين خضوع فی الحقيقه بحقّ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راجع است چه که ناظر بايمان او است باللّه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صورت اگر نفس مقابل بمثل او حرکت ننمايد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يا استکبار از او ظاهر شود شخص بصير بعلوّ عمل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خود و جزای آن رسيده و ميرسد و ضرّ عمل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مقابل بخود او راجع است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اگر نفسی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 نفسی استکبار نمايد آن استکبار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بحقّ راجع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نعوذ باللّه من ذلک يا أُول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الأبصار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قسم باسم أعظم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حيف است اين أيّام نفسی بشئونات عرضيّه ناظر باشد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بايستيد بر امر الهی و با يگديگر بکمال محبّت سلوک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کنيد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خالصا لوجه المحبوب حجبات نفسانيّه را بنار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أحديّه محترق نمائيد و با وجوه ناضره مستبشره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 يکديگر معاشرت کنيد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 سجايای حقّ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بچشم خود ديده‌ايد که أبدا محبوب نبوده که شبی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بگذرد و يکی از أحبّای الهی از اين غلام آزرده باشد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قلب عالم از کلمه الهيّه مشتعل است حيف است باين نار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مشتعل نشويد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شاء اللّه اميدواريم که ليله مبارکه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ليلة الاتّحاديّه قرار دهيد و کلّ با يکديگر متَّحد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شويد و بطراز أخلاق حسنه ممدوحه مُزَيّن گرديد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همَّتان اين باشد که نفسی را از غرقاب فنا بشريعه بقا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هدايت نمائيد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ميانه عباد بقسمی رفتار کنيد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آثار حقّ از شما ظاهر شود چه که شمائيد أوّل وجود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أوّل عابدين و أوّل ساجدين و أوّل طائفين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أنطقن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أراد که أسماء شما در ملکوت أعلی مشهور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تر است از ذکر شما در نزد شما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گمان مکنيد اين سخن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وهم است يا ليت أنتم ترون ما يَری ربّکم الرَّحمن من علوّ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شأنکم وعظمة قدرکم وسموّ مقامکم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نسأل اللّه بأن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تمنعکم أنفسکم وأهواؤکم عمّا قُدِر لکم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اميدواريم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در کمال ألفت و محبَّت و دوستی با يکديگر رفتار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نمائيد بشأنيکه از اتّحاد شما عَلَمِ توحيد مرتفع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رايت شرک منهدم گردد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سبقت بگيريد از يکديگر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أمور حسنه و اظهار رضا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 الخلق والأمر يفعل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يشاء ويحکم ما يريد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المقتدر العزيز القدير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sz w:val="20"/>
        <w:szCs w:val="20"/>
        <w:lang w:bidi="fa-IR"/>
      </w:rPr>
    </w:pP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ar-JO"/>
      </w:rPr>
      <w:t xml:space="preserve">بسم الذي بذكره تحيى قلوب أهل الملأ الأعلى – اثر حضرت بهاءالله </w:t>
    </w:r>
    <w:r>
      <w:rPr>
        <w:rFonts w:cs="Naskh MT for Bosch School" w:ascii="Naskh MT for Bosch School" w:hAnsi="Naskh MT for Bosch School"/>
        <w:color w:val="0000CC"/>
        <w:sz w:val="20"/>
        <w:szCs w:val="20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sz w:val="20"/>
        <w:szCs w:val="20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0"/>
        <w:szCs w:val="20"/>
        <w:lang w:bidi="ar-JO"/>
      </w:rPr>
      <w:t>227</w:t>
    </w:r>
    <w:r>
      <w:rPr>
        <w:rFonts w:cs="Naskh MT for Bosch School" w:ascii="Naskh MT for Bosch School" w:hAnsi="Naskh MT for Bosch School"/>
        <w:color w:val="0000CC"/>
        <w:sz w:val="20"/>
        <w:szCs w:val="20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0"/>
        <w:szCs w:val="20"/>
        <w:lang w:bidi="fa-IR"/>
      </w:rPr>
    </w:pPr>
    <w:r>
      <w:rPr>
        <w:rFonts w:cs="Arial" w:ascii="Arial" w:hAnsi="Arial"/>
        <w:color w:val="000000"/>
        <w:sz w:val="20"/>
        <w:szCs w:val="2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