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>بنام گوينده دانا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ستايش پاک يزدان را سزاوار که از روشنی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آفتاب بخشش جهانرا روشن نمود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با بحر أعظم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هويدا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از ها هويّه بحته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اوست توانائيکه توانائی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مردم روزگار او را از خواست خود باز ندارد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لشگرهای پادشاهان از گفتارش منع ننمايد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نامه‌ات رسيد ديديم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ندايترا شنيديم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نامه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لآلئ محبّت مکنون و اسرار مودّت مخزون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داور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بيهمال ميطلبيم ترا تأييد فرمايد بر نصرت امرش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توفيق بخشد تا تشنگان دشت نادانی را به آب زندگانی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برسانی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اوست بر هر امری قادر و توانا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آنچه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دريای دانائی و خورشيد بينائی سؤال نمودی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باجابت مقرون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پرسش نخستين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نخست پرستش يکتای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يزدانرا بچه زبان و رو بکدام سو بنمائيم شايسته است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آغاز گفتار پرستش پروردگار است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اين پس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از شناسائيست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چشم پاک بايد تابشناسد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زبان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پاک بايد تا بستايد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امروز روهای اهل دانش و بينش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سوی اوست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بلکه سويها را جمله رو بر سوی او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شير مرد از خداوند ميخواهيم مرد ميدان باشی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بتوانائی يزدان بر خيزی و بگوئی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ای دستوران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گوش از برای شنيدن راز بی نياز آمده و چشم از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برای ديدار چرا گريزانيد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دوست يکتا پديدار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ميگويد آنچه را که رستگاری در آنست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دستوران اگر بوی گلزار دانائی را بيابيد جز او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نخواهيد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دانای يکتا را در جامه تازه بشناسيد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از گيتی و گيتی خواهان چشم برداريد و بياری بر خيزيد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پرسش دوم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در کيش و آيين بوده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امروز کيش يزدان پديدار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جهاندار آمد و راه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نمود 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*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کيشش نيکوکاری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آيينش بردباری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اين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کيش زنده‌گی پاينده بخشد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اين آيين مردمانرا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بجهان بی نيازی رساند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اين کيش و آيين دارای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کيشها و آيينهاست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بگيريد و بداريد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پرسش سوّم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با مردم روزگار که جدا جدا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کيشی گرفته‌اند و هر يک کيش و آيين خويشرا پيشتر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بهتر از ديگری دانند چگونه رفتار نمائيم که از دست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زبان ايشان در رنج و آزار نباشيم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ای شير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ِ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مردمان رنجرا در راه حضرت يزدان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راحت دان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هر دردی در راه او درمانيست بزرگ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هر تلخی شيرين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هر پستی بلند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اگر مردمان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بيابند و بدانند جان رايگان در راه اين رنج دهند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اين رنج مفتاح گنج است اگر در ظاهر منکر است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در باطن پسنديده بوده و هست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گفتار ترا پذيرفتيم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تصديق نموديم چه که مردمان روزگار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روشنائی آفتاب داد محرومند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داد را دشمن ميدارند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اگر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بی رنجی طلبی اين بيان که از قلم رحمن جاری شده قراءت نما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إلهی إلهی أشهد بفردانيّتک و وحدانيّتک أسألک يا مالک الأسماء و فاطرَ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السّماء بنفوذ کلمتک العليا و إقتدار قلمک الأعلی أنْ تنصرَنی برايات قدرتک و قوّتک و تحفظَنی من شرّ أعدائک الّذين نقضوا عهدَک و ميثاقَک إنّک أنت المقتدر القدير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اين ذکر حصنی است متين و لشگريست مبين حفظ نمايد و نجات بخشد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﴿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پرسش چهارم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در نامهای ما مژده داده‌اند شاه بهرام با نشانهای زياد از برای رهنمائی مردمان ميآيد الی آخر بيانه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ای دوست آنچه در نامها مژده داده‌اند ظاهر و هويدا گشت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نشانها از هر شطری نمودار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امروز يزدان ندا مينمايد و کلّ را بمينوی اعظم بشارت ميدهد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گيتی بانوار ظهورش منوّر 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لکن چشم کم ياب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از يکتا خداوند بيمانند بخواه بندگان خود را بينائی بخشد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بينائی سبب دانائی و علت نجات بوده و هست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دانائی خرد از بينائی بصر است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اگر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مردمان بچشم خود بنگرند امروز جهانرا بروشنائی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تازه روشن بينند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بگو خورشيد دانائی هويدا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آفتاب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بينش پديدار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بختيار آنکه رسيد و ديد و شناخت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پرسش پنجم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از پل صراط و بهشت و دوزخ بوده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پيمبران براستی آمده‌اند و راست گفته‌اند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آنچه را پيک يزدان خبر داده پديدار شده و ميشود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عالم بمجازات و مکافات برپا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بهشت و دوزخ را خرد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دانائی تصديق نموده و مينمايد چه که وجود اين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دو از برای آن دو لازم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مقام أوّل و رتبه أولی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بهشت رضای حقّ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است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هر نفسی برضای او فائز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شد او از اهل جنّت عليا مذ کور و محسوب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بعد از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عروج روح فائز ميشود بآنچه که آمه و خامه از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ذ کر ش عاجز است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صراط و ميزان و همچنين جنّت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نار و آنچه در کتب الهی مذ کور و مسطور است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نزد اصحاب بصر و مردمان منظر اکبر معلوم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مشهود است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حين ظهور و بروز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انوار خورشيد معانی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کل در يکمقام واقف و حقّ نطق ميفرمايد بآنچه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اراده ميفرمايد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هريک ازمردمان که بشنيدن آن فائز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شد و قبول نمود او از اهل جنّت مذکور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همچنين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صراط وميزان و آنچه در روز رستخيز ذکر نموده‌اند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گذشته و رسيده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يوم ظهور يوم رستخيز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اکبراست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اميد هست که آنجناب از رحيق وحی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الهی و سلسبيل عنايت ربّانی بمقام مکاشفه و شهود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فائز شوند و آنچه ذ کر نموده‌اند ظاهرا و باطنا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مشاهده نمايند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پرسش ششم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پس از هشتن تن که روان از تن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جدا شده بآن سرا شتابد الی آخر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اينمقام چندی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قبل از خامه دانش ظاهر شد آنچه که بينايان را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کفايت نمايد و اهل دانش را فرح اکبر بخشد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براستی ميگوئيم روان از کردار پسنديده خوشنود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ميشود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داد و دهش در راه خدا باو ميرسد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پرسش هفتم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از نام و نژاد و نياکان پاک نهاد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بوده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ابوالفضل گلپايگانی عليه بهائی در اين باب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نامهای آسمانی نوشته آنچه که آگاهی بخشد و بر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بينائی بيفزايد آيين يزدان با قوّت و نيرو بوده و هست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زود است آنچه از زبان گفته شد در ظاهر ديده شود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از خداوند ميخواهيم ترا بر ياری نيرو بخشد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اوست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دانا و توانا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اگر آنجناب سوره رئيس و سور ملوک را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بيابد و بخواند از آنچه سؤال نموده بی نياز گردد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بخدمت امر الهی قيام نمايد قياميکه ظلم عالم و قوّت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امم او را از نصرت مالک قدم منع نکند از حقّ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ميطلبيم شما را تأييد فرمايد بر آنچه سبب بلندی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بقای نام است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جهد نمائيد شايد بسور مذ کوره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هم برسيد و از لآلئ حکمت و بيان که از خزينه قلم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رحمن ظاهر شده قسمت بريد و نصيب برداريد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البهاء عليک و علی کلّ ثابت مستقيم و راسخ امين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Normal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</w:rPr>
      </w:r>
    </w:p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cs="Traditional Arabic;Times New Roman" w:ascii="Traditional Arabic;Times New Roman" w:hAnsi="Traditional Arabic;Times New Roman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24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bidi w:val="1"/>
      <w:ind w:left="0" w:right="0" w:hanging="0"/>
      <w:jc w:val="both"/>
      <w:rPr>
        <w:rFonts w:ascii="Traditional Arabic;Times New Roman" w:hAnsi="Traditional Arabic;Times New Roman" w:eastAsia="MS Mincho;ＭＳ 明朝" w:cs="Traditional Arabic;Times New Roman"/>
        <w:color w:val="0000CC"/>
        <w:sz w:val="32"/>
        <w:szCs w:val="32"/>
        <w:lang w:bidi="fa-IR"/>
      </w:rPr>
    </w:pPr>
    <w:r>
      <w:rPr>
        <w:rFonts w:ascii="Traditional Arabic;Times New Roman" w:hAnsi="Traditional Arabic;Times New Roman" w:eastAsia="MS Mincho;ＭＳ 明朝" w:cs="Traditional Arabic;Times New Roman"/>
        <w:color w:val="0000CC"/>
        <w:sz w:val="32"/>
        <w:sz w:val="32"/>
        <w:szCs w:val="32"/>
        <w:rtl w:val="true"/>
        <w:lang w:bidi="fa-IR"/>
      </w:rPr>
      <w:t>لوح هفت پرسش</w:t>
    </w:r>
    <w:r>
      <w:rPr>
        <w:rFonts w:ascii="Traditional Arabic;Times New Roman" w:hAnsi="Traditional Arabic;Times New Roman" w:eastAsia="MS Mincho;ＭＳ 明朝" w:cs="Traditional Arabic;Times New Roman"/>
        <w:color w:val="0000CC"/>
        <w:sz w:val="32"/>
        <w:sz w:val="32"/>
        <w:szCs w:val="32"/>
        <w:rtl w:val="true"/>
        <w:lang w:bidi="fa-IR"/>
      </w:rPr>
      <w:t xml:space="preserve"> </w:t>
    </w:r>
    <w:r>
      <w:rPr>
        <w:rFonts w:ascii="Traditional Arabic;Times New Roman" w:hAnsi="Traditional Arabic;Times New Roman" w:eastAsia="MS Mincho;ＭＳ 明朝" w:cs="Traditional Arabic;Times New Roman"/>
        <w:color w:val="0000CC"/>
        <w:sz w:val="32"/>
        <w:sz w:val="32"/>
        <w:szCs w:val="32"/>
        <w:rtl w:val="true"/>
        <w:lang w:bidi="ar-JO"/>
      </w:rPr>
      <w:t>–اثر حضرت بهاءالله</w:t>
    </w:r>
    <w:r>
      <w:rPr>
        <w:rFonts w:eastAsia="MS Mincho;ＭＳ 明朝" w:cs="Traditional Arabic;Times New Roman" w:ascii="Traditional Arabic;Times New Roman" w:hAnsi="Traditional Arabic;Times New Roman"/>
        <w:color w:val="0000CC"/>
        <w:sz w:val="32"/>
        <w:szCs w:val="32"/>
        <w:rtl w:val="true"/>
        <w:lang w:bidi="ar-JO"/>
      </w:rPr>
      <w:t>-</w:t>
    </w:r>
    <w:r>
      <w:rPr>
        <w:rFonts w:ascii="Traditional Arabic;Times New Roman" w:hAnsi="Traditional Arabic;Times New Roman" w:cs="Traditional Arabic;Times New Roman"/>
        <w:color w:val="0000CC"/>
        <w:sz w:val="32"/>
        <w:sz w:val="32"/>
        <w:szCs w:val="32"/>
        <w:rtl w:val="true"/>
        <w:lang w:bidi="fa-IR"/>
      </w:rPr>
      <w:t xml:space="preserve">بر اساس نسخه در مجموعه الواح مبارکه چاپ مصر صفحه </w:t>
    </w:r>
    <w:r>
      <w:rPr>
        <w:rFonts w:cs="Traditional Arabic;Times New Roman" w:ascii="Traditional Arabic;Times New Roman" w:hAnsi="Traditional Arabic;Times New Roman"/>
        <w:color w:val="0000CC"/>
        <w:sz w:val="32"/>
        <w:szCs w:val="32"/>
        <w:lang w:bidi="fa-IR"/>
      </w:rPr>
      <w:t>240</w:t>
    </w:r>
  </w:p>
  <w:p>
    <w:pPr>
      <w:pStyle w:val="Header"/>
      <w:bidi w:val="1"/>
      <w:ind w:left="0" w:right="360" w:hanging="0"/>
      <w:jc w:val="left"/>
      <w:rPr>
        <w:rFonts w:ascii="Arial" w:hAnsi="Arial" w:eastAsia="MS Mincho;ＭＳ 明朝" w:cs="Arial"/>
        <w:color w:val="000000"/>
        <w:sz w:val="32"/>
        <w:szCs w:val="32"/>
        <w:lang w:bidi="fa-IR"/>
      </w:rPr>
    </w:pPr>
    <w:r>
      <w:rPr>
        <w:rFonts w:eastAsia="MS Mincho;ＭＳ 明朝" w:cs="Arial" w:ascii="Arial" w:hAnsi="Arial"/>
        <w:color w:val="000000"/>
        <w:sz w:val="32"/>
        <w:szCs w:val="32"/>
        <w:rtl w:val="true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