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يکتا خداوند بيهمتا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ستايش پاک يزدان را سزاست که بخودی خود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زنده و پاينده بوده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هر نابودی از بود او پديدار شده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هر هستی از هستی او نمودار گشته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أيْ رستم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 شاء اللّه بعنايت رحمن مرد ميدان باش تا از اين زمزمه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ايزدی افسرده گان را بر افروزی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مرده‌گان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زنده و پژمرده گان را تازه نمائی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باين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نار که نور است پی بری بگفتار آئی و خود را دارای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کردار بينی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أيْ رستم امروز نمودار کرم ذرّه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آفتاب کند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پرتو تجلّی أنوار اسم أعظم قطره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دريا نمايد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دستوران باسم من عزيزيد و از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گريز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شما دستوران ديوانيد اگر دستوران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يزدان بوديد با او بوديد و او را ميشناختيد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رستم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بحر کرم يزدانی آشکار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آفتاب بخشش رحمانی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نمودار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صاحب چشم آنکه ديد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صاحب گوش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آنکه شنيد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کوران جهان پناه آمده روز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بينائی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بينای آگاه آمده هنگام جان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بازی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اين روز بخشش کوشش نمائيد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 در دفتر نيکو کاران مذکور آئيد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جز حضرت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رحمن بر آمرزش گمراهان و گناه کاران قادر نبوده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نيست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کسی که هستی نيافته چگونه هستی بخشد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صاحب خطا چگونه از خطا در گذرد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color w:val="0000CC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بگو ای دستوران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محبوب عالميان در زندان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شما را بيزدان ميخواند از او بپذيريد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بلاهای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بی پايانرا از برای خلاصی شما قبول نموده از او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مگريزيد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دشمن دوست نما بگريزيد و بدوست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يکتا دل بنديد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مردمان برضای دوست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راضی شويد چه که آنچه را او برگزيد اوست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پسنديده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دستوران کردار احدی امروز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مقبول نه مگر نفسی که از مردمان و آنچه نزد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ايشان است گذشته و بسمت يزدان توجّه نموده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روز راست گويان است که از خلق گذشته‌اند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بحق پيوسته‌اند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از ظلمت دوری جسته بروشنائی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نزديک شده‌اند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رستم گفتار پروردگار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بشنو و بمردمان برسان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rtl w:val="true"/>
      </w:rPr>
      <w:t>بنام يکتا خداوند بيهمتا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اثر حضرت بها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ء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257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