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خداوند بيننده دانا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قلم أعلی در سجن عکّا باحبّای أرض خا توجّه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نموده يعنی نفوسيکه بطراز جديد مزيّن شده‌اند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بافق توحيد متوجّهند و بحرکت أصليّه ذاتيّه حول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ارادة اللّه متحرّکند و اين حرکت اگر چه مقابل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سکون ذکر ميشود و لکن مقدّس از صعود ونزول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منزّه از تلجلج و ادراک أهل حدود است و اثرش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أسرع از برق و أنفذ از ارياح مشاهده ميشود بلکه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علّت و سبب ظهور ارياح است و اين ارياح اگر بشهوات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نفسانيّه ممزوج نشود أثر ربيع از آن در حقايق وجود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ظاهر و الّا أثر خريف مشهود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أصل اين حرکت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تجلّيات نقطه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أوليّه که در مقامی بسرّ أول و طراز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أوّل و درّه بيضاء تعبير شده ظاهر و باهر و از او نار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أحديّه از شجره مبارکه در فوران و مادّه اشتعال در کل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شئ مشهود و مکنون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تعالی اللّه الملک القيّوم الّذی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خلق ما عجز عنه عرفان من فی الملک و الملکوت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نفوسيکه اليوم متمسّک بأوامر الهيّه‌اند و عاملند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بانچه بآن مأمورند نشهد انّهم هم المتحرّکون بارادة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هم الفائزون بما أراد لهم العزيز الحکيم الکريم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ميقات امم منقضی شد و وعده‌های الهی که در کتب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مقدّسه مذکور است جميع ظاهر گشت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شريعة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صهيون جاری و أراضی و جبال أورشليم بتجلّيات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أنوار ربّ مزيّن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طوبی لمن تفکّر فيما نزّل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فی کتب اللّه المهيمن القيّوم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دوستان الهی تفکّر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نمائيد و بآذان واعيه اصغای کلمة اللّه کنيد تا از فضل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رحمت او از زلال استقامت بياشاميد و بر أمر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مثل جبل راسخ و ثابت باشيد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کتاب اشعيا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 xml:space="preserve">ادخل 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لی الصّخرة واختبئ ف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 xml:space="preserve"> التّراب من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أمام هيبة الرّب ومن بهاء عظمته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اگر نفسی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همين آيه تفکّر نمايد بر عظمت أمر و جلالت قدر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يوم اللّه مطّلع ميشود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در آخر آيه مذکوره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و يسمو الرّبّ وحده ف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 xml:space="preserve"> ذلک اليوم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امروز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روزی است که ذکرش در کلّ کتب از قلم أمر ثبت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گشته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من آية إلّا وقد تناد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بهذا الاسم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وما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کتاب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ويشهد بهذا الذ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کر المبين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نذکر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نزّل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الکتب والصّحف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ذکر هذا الظّهور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ليَصيرُ هذا اللّوح ذا حجم عظيم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بايد اليوم کل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بعنايات الهيّه مطمئن باشند و بکمال حکمت در تبليغ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أمر جهد نمايند تا جميع بأنوار فجر معانی منوّر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أنْ يا قلم أنِ اذکر مَنْ حضر لدی العرش و سمع نداءَ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هذا المظلوم الغريب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ذکرناه ونذکره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اللّوح ليکون ذخراً وشرفاً له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ملکوت ربّه العزيز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المنيع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ثمَّ نذکر أخاه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فاز بهذا المقام ودخل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ظلّ رحمة مولاه الکريم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حضر من قبل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خاضعاً خاشعاً لأمر اللّه ربّ 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نسأل اللّه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يوفّقَ الکلَّ علی عرفان مطلع أمره ويقرّبهم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أفق وحيه ويقدّر لهم ما قدّره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صفيائه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المقتدر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العليم الحکيم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jc w:val="both"/>
        <w:rPr/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32"/>
      </w:rPr>
    </w:pPr>
    <w:r>
      <w:rPr>
        <w:rFonts w:cs="Courier New" w:ascii="Courier New" w:hAnsi="Courier New"/>
        <w:color w:val="0000FF"/>
        <w:szCs w:val="32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rtl w:val="true"/>
      </w:rPr>
      <w:t>بنام خداوند بيننده دانا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اثر حضرت بها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ء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267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