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left" w:pos="1950" w:leader="none"/>
          <w:tab w:val="center" w:pos="4320" w:leader="none"/>
        </w:tabs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tabs>
          <w:tab w:val="left" w:pos="1950" w:leader="none"/>
          <w:tab w:val="center" w:pos="4320" w:leader="none"/>
        </w:tabs>
        <w:bidi w:val="1"/>
        <w:ind w:left="0" w:right="0" w:hanging="0"/>
        <w:jc w:val="center"/>
        <w:rPr>
          <w:rFonts w:ascii="Naskh MT for Bosch School" w:hAnsi="Naskh MT for Bosch School" w:eastAsia="Arial Unicode MS" w:cs="Naskh MT for Bosch School"/>
          <w:b/>
          <w:b/>
          <w:bCs/>
          <w:color w:val="0000CC"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﴿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 w:val="44"/>
          <w:szCs w:val="44"/>
          <w:rtl w:val="true"/>
        </w:rPr>
        <w:t>بنام دوست يکتا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4"/>
          <w:sz w:val="44"/>
          <w:szCs w:val="44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b/>
          <w:b/>
          <w:bCs/>
          <w:color w:val="0000CC"/>
          <w:sz w:val="32"/>
          <w:szCs w:val="32"/>
        </w:rPr>
      </w:pPr>
      <w:r>
        <w:rPr>
          <w:rFonts w:eastAsia="Arial Unicode MS" w:cs="Naskh MT for Bosch School" w:ascii="Naskh MT for Bosch School" w:hAnsi="Naskh MT for Bosch School"/>
          <w:b/>
          <w:bCs/>
          <w:color w:val="0000CC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eastAsia="Arial Unicode MS" w:cs="Naskh MT for Bosch School"/>
          <w:sz w:val="32"/>
          <w:szCs w:val="32"/>
        </w:rPr>
      </w:pPr>
      <w:r>
        <w:rPr>
          <w:rFonts w:eastAsia="Arial Unicode MS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;Times New Roman" w:hAnsi="Simplified Arabic;Times New Roman" w:eastAsia="MS Mincho;ＭＳ 明朝" w:cs="Simplified Arabic;Times New Roman"/>
          <w:sz w:val="36"/>
          <w:szCs w:val="36"/>
          <w:lang w:bidi="ar-JO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 احزاب مختلفه باتّحاد توجّه نمائيد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بنور اتّفاق منوّر گرديد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لوجه اللّه در مقرّی حاضر شويد و آنچه سبب اختلاف است از ميان برداريد تا جميع عالم بأنوار نيّر أعظم فائز گردند و در يک مدينه وارد شوند و بر يک سرير جالس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 مظلوم از أوّل ايّام الی حين مقصودی جز آنچه ذکر شد نداشته و ندارد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شکيّ نيست جميع احزاب بافق أعلی متوجّهند و بامر حق عامل نظر بمقتضيات عصر او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مر و أحکام مختلف شده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لکن کلّ من عند اللّه بوده و از نزد او نازل شده و بعضی از امور هم از عناد ظاهر گشته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باری بعَضُدِ ايقان اصنام اوهام و اختلاف را بشکنيد و باتّحاد و اتّفاق تمسّک نمائيد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 است کلمه عليا که از امّ الکتاب نازل شده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يشهد بذلک لسان العظمة فی مقامه الرّفيع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آنجناب و ساير اولياء بايد باصلاح عالم و رفع اختلاف امم تمسّک نمائيد و جهد بليغ مبذول داريد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إنّه هو المؤيّد الحکيم و هو المشفق الکريم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Simplified Arabic;Times New Roman" w:ascii="Simplified Arabic;Times New Roman" w:hAnsi="Simplified Arabic;Times New Roman"/>
          <w:sz w:val="36"/>
          <w:szCs w:val="36"/>
          <w:rtl w:val="true"/>
        </w:rPr>
        <w:t xml:space="preserve">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Simplified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21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color w:val="0000CC"/>
        <w:rtl w:val="true"/>
        <w:lang w:bidi="ar-JO"/>
      </w:rPr>
      <w:t xml:space="preserve">لوح اتحاد – من آثار حضرت بهاءالله – بر اساس نسخه در مجموعه الواح مباركه چاب مصر صفحه </w:t>
    </w:r>
    <w:r>
      <w:rPr>
        <w:rFonts w:cs="Naskh MT for Bosch School"/>
        <w:color w:val="0000CC"/>
        <w:lang w:bidi="ar-JO"/>
      </w:rPr>
      <w:t>284</w:t>
    </w:r>
    <w:r>
      <w:rPr>
        <w:rFonts w:cs="Naskh MT for Bosch School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Naskh MT for Bosch School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rFonts w:ascii="Naskh MT for Bosch School" w:hAnsi="Naskh MT for Bosch School" w:cs="Naskh MT for Bosch School"/>
      <w:sz w:val="24"/>
      <w:szCs w:val="24"/>
    </w:rPr>
  </w:style>
  <w:style w:type="character" w:styleId="FooterChar">
    <w:name w:val="Footer Char"/>
    <w:qFormat/>
    <w:rPr>
      <w:rFonts w:ascii="Naskh MT for Bosch School" w:hAnsi="Naskh MT for Bosch School" w:cs="Naskh MT for Bosch School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