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أنْ يا رضا قد ذُکرَ لدی العرش ذِکرُک وهذا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جواب ما أردته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سؤالک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ينبغ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لک بأن تطيرَ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الشّوق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هواء حبّ ربّک المتعال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العزيز المنّان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فدينا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بن وما اطّلع بما أراد ربّک لا جبريل و 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الملائکة المقرّبين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فاعلم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کتبنا لعبدنا الخالق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کان من ملأ الرّوح کلمةً نلقيها عليک مرّةً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أخری فضلا من لدن ربّک العزيز الغفّار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نزّلنا 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 سألَ مسألةً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أيّها النّاظر إلی المنظر الأبهی ليس اليوم يوم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ؤال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 سمعت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نداءَ ربّک قل لبّيک يا محبوبَ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العالمين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کلّ سنة من هذا الظّهور بعثنا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سمعيلاً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رسلناه إلی مشهد الفداء وما فديناه بذبح کذلک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الأمر من لدن ربّک العزيز المختار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سمعيل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سرع مسرعا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مقرّ الفداء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العراق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بعد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انجذب بکلمة من لدنّا وفدی نفسه منقطعا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عن الأکوان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ومنهم أشرف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کان ذاکرا بين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العباد بذکر ربّه مالک يوم التّناد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وکلّما منعوه ازداد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شوقه إلی اللّه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أن فدی نفسه وطار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هواء القرب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ودخل مقعد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 المقام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جعلناه أعلی المقام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ومنهم البصير عليه ثناء اللّه و ذکره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لعمر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انجذب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بندائه حقايق الأشياء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 طلع من أفق بيته بثناء ربّه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وکان مناديا بين العباد بهذا الاسم الّذي منه اضطربت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البلاد إلی أن شرب کأس الشّهادة وفاز بما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لا فاز به أحد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قبله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کذلک نزَّلنا الأمر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الألواح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ومنهم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فدی نفسه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الطّاء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ومنهم من قطع حنجره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 رأی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نفس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مظلوم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بين أيد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الفجّار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ومنهم من أخذه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حبّ اللّه علی شأن نبذ نفسه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البحر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اعتبروا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أول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الأبصار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لم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أيّ ذبيح أذکر لک يا أيّها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المذکور بلسان ربّک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هذه اللّيلة الّتی يطوف حولها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النّهار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ومنهم فخر الشّهداء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أحضرناه لدی الوجه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وخلقناه بکلمة من لدنّا ثمّ أرسلناه بکتاب ربک إلی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الّذی اتّبع هواه وفصّلنا فيه ما تمّت به حجّة اللّه عليه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وبرهانه علی من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حوله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کذلک قُض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الأمر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لدن مقتدر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کينونة القدرة تناد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عن ورائه لک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العظمة وال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قتدار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ای سائل لسان قِدَم ميفرمايد بقول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ناس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سَرِ بريده فراوان بود بخانه 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﴾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محبوب تر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انکه در اين ذبايح فکر کنی و در جذب و شوق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وله و اشتياق اين نفوس مذکوره و مقامات ايشان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سير نمائی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ايشان نفوسی هستند که بميل و اراده خود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سبيل محبوب آفاق جان ايثار نمودند و از مشهد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فدا بر نگشتند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 همه اسمعيل نقد داری و خود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بر أحوال بعضی مطّلعی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 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 ترا کافی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چه مقدار نفوس ديگر که بعد از أخذ بمنتهای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استقامت ظاهر شدند بشأنيکه تا حين خروج روح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از جسد بذکر اسم أعظم جهرة ذاکر بودند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امثال اين نفوس در ابداع ظاهر نشده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لو تتفکّر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تخرّ علی التّراب وتقول لک العظمة و الجلال يا محي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مَنْ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العالمين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وما سمعتَ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خليل الرّحمن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لا ريب فيه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مأمور شدند بذبح اسمعيل تا انکه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ظاهر شود استقامت و انقطاع او در أمر اللّه بين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ما سواه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مقصود از ذبح او هم فدائی بود از برای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عصيان و خطاهای من علی الأرض چنانچه عيسی ابن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مريم هم اين مقام را از حقّ جلّ و عزّ خواستند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چنين رسول اللّه حسين را فدا نمودند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احدی اطّلاع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بر عنايات خفيّه حق و رحمت محيطه او نداشته و ندارد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نظر بعصيان أهل عالم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خطاهای واقعه در 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مصيبات وارده بر اصفيا و أوليا جميع مستحق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هلاکت بوده و هستند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لکن الطاف مکنونه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الهيّه بسببی از اسباب ظاهره و باطنه حفظ فرموده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ميفرمايد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تفکّر لِتَعرفَ و کن من الثّابتين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وأمّا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 سألتَ من الجبريل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جبريل قام لدی الوجه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ويقول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أيّها السّائل فاعلم إذا تکلّم لسان الأحديّ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بکلمته العليا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يا جبريل تران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موجود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علی أحسن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الصّور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ظاهر الظّاهر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لا تعجب من ذلک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ربّک لهو المقتدر القدير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آنچه سؤال شده و ميشود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جميع در الواح اللّه از قبل و بعد تلويحاً و تصريحاً نازل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اليوم نغمه قلم قدم لا إله إلّا أنا المهيمن القيّوم است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هذا ما وُعدْتم به فی البيان من لدی الرّحمن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لو أنتم تعلمون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Normal"/>
        <w:jc w:val="both"/>
        <w:rPr/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</w:rPr>
        <w:t xml:space="preserve">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  <w:font w:name="Traditional Arabic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;Times New Roman" w:hAnsi="Traditional Arabic;Times New Roman" w:cs="Traditional Arabic;Times New Roman"/>
        <w:color w:val="0000CC"/>
        <w:sz w:val="28"/>
        <w:sz w:val="28"/>
        <w:szCs w:val="28"/>
        <w:rtl w:val="true"/>
        <w:lang w:bidi="ar-JO"/>
      </w:rPr>
      <w:t>لوح رضا</w:t>
    </w:r>
    <w:r>
      <w:rPr>
        <w:rFonts w:ascii="Traditional Arabic;Times New Roman" w:hAnsi="Traditional Arabic;Times New Roman" w:cs="Traditional Arabic;Times New Roman"/>
        <w:color w:val="0000CC"/>
        <w:sz w:val="28"/>
        <w:sz w:val="28"/>
        <w:szCs w:val="28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اثر حضرت بهاءالله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مجموعه الواح مباركه –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>چاپ مصر – صفحه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 xml:space="preserve"> </w:t>
    </w:r>
    <w:r>
      <w:rPr>
        <w:rFonts w:cs="Naskh MT for Bosch School" w:ascii="Naskh MT for Bosch School" w:hAnsi="Naskh MT for Bosch School"/>
        <w:color w:val="0000CC"/>
        <w:lang w:bidi="fa-IR"/>
      </w:rPr>
      <w:t>230</w:t>
    </w:r>
    <w:r>
      <w:rPr>
        <w:rFonts w:cs="Naskh MT for Bosch School" w:ascii="Naskh MT for Bosch School" w:hAnsi="Naskh MT for Bosch School"/>
        <w:color w:val="0000CC"/>
        <w:rtl w:val="true"/>
        <w:lang w:bidi="fa-IR"/>
      </w:rPr>
      <w:t xml:space="preserve"> - </w:t>
    </w:r>
    <w:r>
      <w:rPr>
        <w:rFonts w:cs="Naskh MT for Bosch School" w:ascii="Naskh MT for Bosch School" w:hAnsi="Naskh MT for Bosch School"/>
        <w:color w:val="0000CC"/>
        <w:lang w:bidi="fa-IR"/>
      </w:rPr>
      <w:t>334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