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>هو اللّه البهيّ ال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>بهی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جواهر توحيد و لطائف تحميد متصاعد بساط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حضرت سلطان بيمثال و مليک ذوالجلالی است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حقايق ممکنات و دقايق و رقايق أعيان موجودات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حقيقت نيستی و عدم در عوالم هستی و قِدَم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فرمود و از ذلّت بُعْد و فنا نجات داده بملکوت عزّت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بقا مشرّف نمود و اين نبود مگر بصرف عنايت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سابقه و رحمت منبسطه خود چنانچه مشهود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عدم صرف را قابليّت و استعداد وجود نشايد و فانی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بحت را لياقت کون و انوجاد نپايد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بَعْد از خلق 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ممکنات و ايجاد موجودات بتجلّی اسم يا مختار انسان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بين أمم و خلايق برای معرفت و محبّت خود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علّت غائی و سبب خلقت کائنات بود اختيار 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در حديث قدسی مشهود و مذکور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بخلعت مکرمت لقد خلقنا الانسان فی أحسن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تقويم و برداء عنايت و موهبت فتبارک اللّه أحسن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الخالقين مفتخر و سر افراز فرمود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زيرا کينونت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حقيقت هر شئ را باسمی از اسماء تجلّی نمود و بصفتی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صفات اشراق فرمود مگر انسان را که مظهر کلّ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اسماء و صفات و مرآت کينونت خود قرار فرمود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باين فضل عظيم و مرحمت قديم خود اختصاص 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اين تجلّيات أنوار صبح هدايت و اشراقات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أنوار شمس عنايت در حقيقت انسان مستور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محجوبست چنانچه شعله و اشعّه و انوار در حقيقت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شمع و سراج مستور است و تابش درخشش آفتاب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جهانتاب در مرايا و مجالی که از زنگ و غبار شئونات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بشری تيره و مظلم گشته مخفی و مهجور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اين شمع و سراج را افروزنده بايد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مرايا و مجالی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صيقل دهنده شايد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واضح است که تا ناری مشتعل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ظاهر نشود هر گز سراج نيفروزد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تا آينه از زنگ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غبار ممتاز نگردد صورت و مثال و تجلّی و اشراق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شمس بی امس در او منطبع نشود و چون ما بين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حقّ و حادث و قديم و واجب و ممکن بهيچوجه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رابطه و مناسبت و موافقت و مشابهت نبوده و نيست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لهذا در هر عهد و عصر کينونت ساذجی را در عالم ملک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ملکوت ظاهر فرمايد و اين لطيفه ربّانی و دقيقه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صمدانی را از دو عنصر خلق فرمايد عنصر ترابی ظاهری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عنصر غيبی الهی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دو مقام در او خلق فرمايد يک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حقيقت که مقام لا ينطق الّا عن اللّه ربّه است که در حديث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اتٌ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 ه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 أ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 أ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قِفْ يا م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د أ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ت الح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الم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وب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 ف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ّا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م ع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اد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َ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مقام ديگر مقام بشريّت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cs="Naskh MT for Bosch School" w:ascii="Naskh MT for Bosch School" w:hAnsi="Naskh MT for Bosch School"/>
          <w:color w:val="006600"/>
          <w:sz w:val="32"/>
          <w:szCs w:val="32"/>
          <w:rtl w:val="true"/>
          <w:lang w:bidi="fa-IR"/>
        </w:rPr>
        <w:t>[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  <w:lang w:bidi="fa-IR"/>
        </w:rPr>
        <w:t>إِنَّ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</w:t>
      </w:r>
      <w:r>
        <w:rPr>
          <w:rFonts w:cs="Naskh MT for Bosch School" w:ascii="Naskh MT for Bosch School" w:hAnsi="Naskh MT for Bosch School"/>
          <w:color w:val="006600"/>
          <w:sz w:val="32"/>
          <w:szCs w:val="32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س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تُ 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ولا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اين کينونات مجرّده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حقايق منيره وسايط فيض کليّه‌اند و بهدايت کبری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ربوبيّت عظمی مبعوث شوند که تا قلوب مشتاقين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حقايق صافين را بالهامات غيبيّه و فيوضات لا ريبيّه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نسائم قدسيّه از کدورات عوالم ملکيّه ساذج و منير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گردانند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افئده مقرّبين را از زنگار حدود پاک و منزّه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فرمايند تا وديعه الهيّه که در حقايق مستور و مختفی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گشته از حجاب ستر و پرده خفا چون اشراق آفتاب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نورانی از فجر الهی سر بر آرد و عَلَمِ ظهور بر اتلال قلوب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افئده بر افرازد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اين کلمات و اشارات معلوم و ثابت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 که لابدّ در عالم ملک و ملکوت بايد کينونت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حقيقتی ظاهر گردد که واسطه فيض کليّه مظهر 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أُلوهيّت و ربوبيّت باشد تا جميع ناس در ظل تربيت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آفتاب حقيقت تربيت گردند تا باينمقام و رتبه که 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حقايق ايشان مستودع است مشرّف و فايز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 که در جميع أعْهاد و أزمان أنبياء و أولياء با قوّت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ربّانی و قدرت صمدانی در ميان ناس ظاهر گشته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عقل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سليم هر گز راضی نشود که نظر ببعضی کلمات که معانی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را ادراک ننموده اين باب هدايت را مسدود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انگارد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برای اين شموس و أنوار ابتدا و انتهائی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تعقّل نمايد زيرا فيضی أعظم از اين فيض کليّه نبوده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رحمتی اکبر از اين رحمت منبسطه الهيّه نخواهد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شکّی نيست که اگر در يک آن عنايت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فيض او از عالم منقطع شود البتّه معدوم گردد لهذا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يزل ابواب رحمت حق بر وجه کون و امکان مفتوح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بوده و لا يزال امطار عنايت و مکرمت از غمام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حقيقت بر أراضی قابليات و حقايق و أعيان متراکم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مفيض خواهد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 سنّت خدا من الأزل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الی الأبد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بعد از ظهور اين طلعات قدسيّه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عالم ظهور و شهاده بعضی از نفوس و برخی از ناس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گروهی بظلمت و جهل که ثمرات أفعال خودشان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مبتلا گردند و گروهی بزخارف فانيه مشغول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چون آن جمال غيبی جميع ناس را بانقطاع 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انفاق کل دعوت مينمايد لهذا اعراض نمايند و بايذا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أذيّت دست درازی نمايند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انجائيکه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سلاطين وجود در ذرّ عما و عوالم أرواح بکمال ميل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رغبت جميع بلايا را در سبيل حقّ قبول نمودند لهذا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خود را تسليم در دست اعدا نمايند بقسميکه 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بتوانند از ايذا و أذيّت بر أجساد و أعضاء و جوارح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کينونات مجرّده در عالم ملک و شهاده ظاهر سازند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چون مؤمنين و محبّين بمنزله أغصان و أوراق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شجره مبارکه هستند لهذا هر چه بر اصل شجره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وارد گردد البتّه بر فرع و أغصان و أوراق وارد آيد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 که در جميع اعصار اينگونه صدمات و بلايا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برای عاشقان جمال ذوالجلال بوده و خواهد 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 وقتی نبوده که اين ظهورات عزّ أحديّه در عالم ملکيّه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 شده باشند و اينگونه صدمات و بلايا و محن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نبوده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اگر چه در ظاهر أسير و مقتول و مطرود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بلاد گشتند امّا در باطن بعنايت خفيّه الهيّه مسرورند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اگر از راحت جسمانی و لذّت جسدی مهجور ماندند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براحت روحانی و لذايذ فواکه معانی و ثمرات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جنّت قدسی ملتذّ و متنعّم گردند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اگر ناس بديده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بصيرت ملاحظه نمايند مشهود شود که اين محن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بلايا و مشقّت و رزايا که بر مخلصين و مؤمنين نازل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وارد است عين راحت و حقيقت نعمت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راحت و عزّت معرضين از حقّ نفس مشقّت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عذاب و زحمت است زيرا که نتيجه و ثمره اين بلايا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راحت کبری و علّت وصول برفرف أعلی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پاداش و اثر اين راحت زحمت و مشقّت عظمی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سبب نزول در درک سفلی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در هيچ وقت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أحيان از نزُول بلايا و محن محزون نبايد بود و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ظهورات قضايا و رزايا مهموم و مغموم نشايد شد بلکه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بعروة الوثقای صبر بايد تمسّک جست و بحبل محکم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اصطبار تشبّث 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زيرا أجر و ثواب هر حسنه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پروردگار باندازه و حساب قرار فرموده مگر صبر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فّ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ی الصّ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 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غ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آقا ميرزا اسمعيل را بکمال شوق و اشتياق طالب و ذاکرم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شاء اللّه هميشه در ظلّ عنايت حق ساکن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مستريح باشی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مقصود از تحرير اظهار حبّ بود بر معانی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قلم و مداد هر دو بيگانه و شمع و پروانه خارج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اين افسانه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معانی مکنونه باين افسانه نرسد چگونه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الفاظ از عهده بر آيد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رسوم عوالم روح رسمی تازه دارد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اسمی بی‌اندازه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اسامی اين کور محدود و مراسم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کور مقدّس از دور و طور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پر معنوی برگشا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جميع ممالک را چون برق طی کن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ميدان چشم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وسيع نما و فضل لن يُری مشاهده کن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گِلْ در آب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اندازی غرق شود و گُلْ بر آب افکنی چون تاج 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فرق آب قرار گيرد يعنی ظهور و بقا خوشتر از بطون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فنا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معنی ديگر ثقل حدود غرق نمايد پس بايد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ثقل ملک فارغ شد و چون گُلْ در همين هيکل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بروجه ملک باقی ماند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آنچه در متن جناب مرقوم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فرمودند جايز نه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لعمری بقا در اين ايّام محبوب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فنا مردود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        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جواهر توحيد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338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