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52"/>
          <w:szCs w:val="52"/>
          <w:lang w:bidi="fa-IR"/>
        </w:rPr>
      </w:pPr>
      <w:r>
        <w:rPr>
          <w:rFonts w:ascii="Naskh MT for Bosch School" w:hAnsi="Naskh MT for Bosch School" w:cs="Naskh MT for Bosch School"/>
          <w:b/>
          <w:b/>
          <w:bCs/>
          <w:sz w:val="52"/>
          <w:sz w:val="52"/>
          <w:szCs w:val="5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52"/>
          <w:sz w:val="52"/>
          <w:szCs w:val="52"/>
          <w:rtl w:val="true"/>
        </w:rPr>
        <w:t>هو العزيز</w:t>
      </w:r>
      <w:r>
        <w:rPr>
          <w:rFonts w:ascii="Naskh MT for Bosch School" w:hAnsi="Naskh MT for Bosch School" w:cs="Naskh MT for Bosch School"/>
          <w:b/>
          <w:b/>
          <w:bCs/>
          <w:sz w:val="52"/>
          <w:sz w:val="52"/>
          <w:szCs w:val="52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 يزل نفحات قدس از رضوان عنايت الهی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وزيدن بوده و لا يزال بروايح عزّ معنوی از يمين عرش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ربّانی در هبوب خواهد 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سحاب جود و کرم آنی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ابلاغ فيوضات منيعه ساکن نگشت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غمام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فضل و رحمت آنی از انزال امطار فيض نياسود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بحمد اللّه شمس عنايت مشرق است و بدر مکرمت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افق عزّت طالع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لکن نفوس مشغوله و نقوش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محدوده از اين رحمت اصليّه و نعمت سرمديّه ممنوع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بوده و بحجبات وهميّه و سبحات ظنّيه محتجب و محروم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خواهند 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معلوم آنجناب بوده که مقصود از آفرينش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عرفان حقّ و لقای آن بوده و خواهد بود چنانچه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جميع کتب الهيّه و صحف متقنه ربّانيّه من غير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حجاب اين مطلب أحلی و مقصد أعلی مذکور و واضحست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هر نفسی که بآن صبح هدايت و فجر أحديّت فائز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 بمقام قرب و وصل که اصل جنّت و أعلی الجنان است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فائز گرديد و بمقام قاب قوسين که ورای سدره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منتهی است وارد شد و الّا در امکنه بعد که اصل نار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حقيقت نفی است ساکن بوده و خواهد بود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چه در ظاهر بر اکراس رفيعه و اعراش منيعه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جالس باشد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بلی آن سماء حقيقت قادر و مقتدر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جميع ناس را از شمال بعد و هوی بيمين قرب و لقاء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 شاء اللّه ليکون النّاس أمّة واحدة و لکن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مقصود صعود انفس طيّبه و جواهر مجرّده است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بفطرت أصليّه خود بشاطئ بحر أعظم وارد شوند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 طالبان جمال ذوالجلال از عاکفان امکنه ضلال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اضلال از يکديگر مفصول و ممتاز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کذلک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قُدّر الأمر من قلم عزّ منير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 شاء اللّه اميدواريم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که آنجناب خود را از صهبای رحمت إلهی منع نفرمايند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نظر پاک را بأسباب فانيه نيالايند تا از سراب فانی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ببحر باقی واصل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همچنين سبب عدم ظهور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مظاهر عدل و مطالع فضل بأسباب قدرت ظاهريّه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غلبه ملکيّه همين شئونات فصل و تميز بوده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آن جوهر قِدَم علی ما کان عليه ظاهر 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تجلّی فرمايد احدی را مجال انکار و اعراض نماند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بلکه جميع موجودات از مشاهده انوار او منصعق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بلکه فانی محض شوند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ديگر در اين مقام مُقْبِل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إلی اللّه از مُعْرِض باللّه منفصل نگردد چنانچه در 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مظاهر قبل اين مطلب وضوح يافته و بسمع عالی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رسيده اينست که مشرکين در هر ظهور بديع و تجلّی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منيع چون جمال لا يزال و طلعت بيمثال را در لباس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ظاهر ملکيّه مثل ساير ناس مشاهده مينمودند بدين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جهت محتجب گشتند و غفلت نموده بآن سدره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قرب تقرّب نميجستند بلکه در صدد دفع و قلع و قمع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مقبلين إلی اللّه بر آمده چنانچه در اين کور ملاحظه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 که اين همج رعاع گمان نموده‌اند که بقتل و غارت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نفی احبای الهی از بلاد توانند سراج قدرت ربانی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بيفسرند و شمس صمدانی را از نور باز دارند غافل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اينکه جميع اين بلايا بمنزله دهن است برای اشتعال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اين مصباح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کذلک يُبَدِّلُ اللّهُ ما يشاء و انّه علی کلّ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شئ قدير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چنانچه از هجرت اين مهاجران باين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سمت اشتهار و علوّ اين أمر جميع امکنه أرض را احاطه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نموده چنانچه أهل اين أطراف مطلع شده‌اند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 نصرت را سلطان أحديّه بيد خود اعلاء فرمود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مِنْ دون انکه احدی مطّلع شود و يا شاعر باشد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اينست معني آن شعر پارسی که ميگويد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تو گرو بُرْدی اگر جُفت اگر طاق آيد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هر حال سلطنت و قدرت و غلبه سلطان حقيقی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ملاحظه فرما و گوش را از کلمات مظاهر نفی و مطالع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قهر پاک و مقدّس فرمائيد که عن قريب حق را محيط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جميع و غالب بر کل خواهيد ديد و دون آن را مفقود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لا شئ محض ملاحظه خواهيد فرمود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بحمد اللّه حق و مظاهر او هميشه در علوّ ارتفاع و سموّ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امتناع خود بوده بلکه علوّ و سموّ بقول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شده لو أنتم ببصر هذا الغلام تنظرون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ديگر اينکه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عبد هميشه در ذکر آن دوست بوده و سبقت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دوستی آنجناب از نظر نرفته و ان شاء اللّه نخواهد رفت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بشرطها و شروطها و أنا مِنْ شروطها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اميدواريم 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ذکر را نسيان مقطوع ننمايد و اين إثبات را محو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پی نيايد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اميد از ربّ العزّة چنانست که در نهايت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بُعد صوری بمنتهی قرب معنوی فائز باشی چنانچه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کلّ مَنْ علی الأرض ميان آنجناب و حضرت مقصود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حجاب نشود زيرا که دون اين قرب و بعد مذکوره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قربی عند اللّه مذکور است که او را شبهی و ضدّی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مثلی در عالم ملکيّه که امکنه حدود است متصوّر 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جهدی بايد که بالطاف سلطان احديّه بآن 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درائی تا از شجره بُعْد و اثمار و أوراق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بالمرّه پاک و مقدّس گردی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قربيست که ببعد تبديل نشود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بدوام اللّه باقی خواهد بود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اللّه يهدی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يشاء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صراط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مستقيم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*</w:t>
      </w:r>
    </w:p>
    <w:p>
      <w:pPr>
        <w:pStyle w:val="Normal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eastAsia="Traditional Arabic" w:cs="Traditional Arabic" w:ascii="Traditional Arabic" w:hAnsi="Traditional Arabic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اثر حضرت بها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ء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چاپ مصر – صفحه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 </w:t>
    </w:r>
    <w:r>
      <w:rPr>
        <w:rFonts w:cs="Naskh MT for Bosch School" w:ascii="Naskh MT for Bosch School" w:hAnsi="Naskh MT for Bosch School"/>
        <w:color w:val="0000CC"/>
        <w:lang w:bidi="fa-IR"/>
      </w:rPr>
      <w:t>368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 - </w:t>
    </w:r>
    <w:r>
      <w:rPr>
        <w:rFonts w:cs="Naskh MT for Bosch School" w:ascii="Naskh MT for Bosch School" w:hAnsi="Naskh MT for Bosch School"/>
        <w:color w:val="0000CC"/>
        <w:lang w:bidi="fa-IR"/>
      </w:rPr>
      <w:t>372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