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[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]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الّذین کانوا قبلکم وتطوف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حولهم ذوات الجمال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اعتبروا یا قوم ولا تکوننّ من الغافلین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سوف یأت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دونکم ویتصرّف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موالکم ویسکن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بیوتکم اسمعوا قول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ولا تکوننّ من الجاهلین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لکلّ نفس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یختار لنفسه ما لا یتصرّف فیه غیره ویکون معه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الأحوال تالله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لحبّ الله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من العارفین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عمّروا بیوت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لا تخربها الأمطار وتحفظکم من حوادث الزّمان کذلک یعلّمکم هذا المظلوم الفرید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102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