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قل یا قوم لا تنظروا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لّا بعین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 تریدنّ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تعرفنّ الله وقدرته ومن دون ذلک لن تعرفون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ولو تفکّروا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بدوام الملک وتنظرون الأشیآء ببقآء الله الملک القادر الباق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الحکیم کذلک 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یّ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الأمر لعلّ النّاس یستشعرنّ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نفسهم ویکوننّ من العارفین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نّک فانظر شأن هؤلآء بعد الّذ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شهدوا کلّهم بأنّ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فدیت نفس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سبیل الله وحفظ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یمانهم وکنت بین الأعدآء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یّام الّت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اضطربت کلّ النّفوس وستروا وجوههم عن الأحباب والأعدآء وکانوا بحفظ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نفسهم لمن المشتغلین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ظهرنا الأمر وبلّغناه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لی مقام کلّ اعترفوا بسلطنة الله وقدرته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لّا الّذین کان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صدورهم غلّ الغلام وکانوا من المشرکین ومع هذا الظّهور الّذ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حاط الممکنات وهذا 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شراق الّذ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ما سمعوا شبهه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الآفاق اعترضوا ع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ملأ البیان ومنهم من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عرض عن الصّراط وکفر بالّذ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آمن به وبغی علی الله المقتدر المهیمن العل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ّ العظیم ومنهم من توقّف لدی الصّراط وعلّق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مر الله بساذجه بتصدیق الّذ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خلق بقول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وبذلک حبط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عماله وما کان من الشّاعرین ومنهم من قاس نفس الله بنفسه وغرّته الأسمآء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لی مقام حارب بوجه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وافتی علی قتل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ونسبن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بکلّ ما کان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نفسه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اشکر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بثّ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وحزن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الّذ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خلقن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رسلن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حمده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قضایاه وف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وحدت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ثمّ ابتلائ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بین هؤلآء الغافلین وصبرت واصبر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الضّرّآء متّکلاً علی الله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قول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ربّ فاهد العباد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لی شطر جودک ومواهبک ولا تحرمهم عن بدایع فضلک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لطافک لأنّهم لا یعلمون ما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ردت لهم من رحمتک الّت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سبقت العالمین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ربّ هؤلآء ضعفآء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الجهر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یتام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السّرّ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نّک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نت الکریم ذو الفضل المتعال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العظیم لا تقهر یا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علیهم ثمّ انظرهم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لی میقات الّت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ینبغ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لبدایع رحمتک لعلّ یرجعنّ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لیک ویستغفرنّ عمّا ارتکبوا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جنبک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نّک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نت الغفور الرّحیم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127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108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