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کن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النّعمة منفق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فقدها شاکر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وفي الحقوق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وفي الوجه ط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وللفقرآء کنز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وللأغنیآء ناصح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وللمناد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مجیب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وفي الوعد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وفي الأمور منصف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وفي الجمع صامت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وفي القضآء عادلا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ولل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نسان خاضع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وفي الظّلمة سراج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وللهموم فرح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وللظّمآن بحر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وللمکروب ملجأ وللمظلوم ناصر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وعضد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وظهر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وفي الأعمال متّقی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وللغریب وطن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وللمریض شفآء وللمستجیر 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وللضّریر بصر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ولمن ضلّ صراط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ولوجه الصّدق جمالا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ولهیکل الأمانة طراز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ولبیت الأخلاق عرش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ولجسد العالم روح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ولجنود العدل رایة ولأفق الخیر نور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وللأرض الطّیّبة 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ولبحر العلم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ولسمآء الکرم نجم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ولرأس الحکمة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کلیلا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ولجبین الدّهر بیاض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ولشجر الخشوع ثمر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.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130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112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