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بعضی اموال ناس را حلال دانسته و حکم کتاب را سهل شمرده علیهم دائرة السّوء و عذاب الله المقتدر القدیر قسم بآفتاب افق تقدیس که اگر جمیع عالم از ذهب و فضّه شود نفسی که فی‌الحقیقه بملکوت ایمان ارتقا جسته ابداً بآن توجّه ننماید تا چه رسد باخذ آن و این مقام بلسان عربی احلی و لغات فصحی از قبل نازل لعمر الله اگر نفسی حلاوت آن را بیابد ابداً بغیر ما اذن الله عمل ننماید و بغیر دوست ناظر نشود فنای عالم را بعین بصیرت مشاهده نماید و قلبش بعالم بقا متّصل گردد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بگو ای مدّعیان محبّت از جمال قدم شرم نمائید و از زحمات و مشقّاتی که در سبیل الهی حمل نموده پند گیرید و متنبّه شوید اگر مقصود این اعمال سخیفه و افعال باطله بوده حمل این زحمات بچه جهت شده هر سارق و فاسقی باین اعمال و اقوال شما قبل از ظهور عامل بوده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براستی میگویم ندای احلی را بشنوید و خود را از آلایش نفس و هوی مقدّس دارید الیوم ساکنین بساط احدیّه و مستقرّین سرر عزّ صمدانیّه اگر قوت لایموت نداشته باشند بمال یهود دست دراز نکنند تا چه رسد بغیر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حقّ ظاهر شده که ناس را بصدق و صفا و دیانت و امانت و تسلیم و رضا و رفق و مدارا و حکمت و تقی دعوت نماید و باثواب اخلاق مرضیّه و اعمال مقدّسه کل را مزیّن فرماید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بگو بر خود و ناس رحم نمائید و امر الهی را که مقدّس از جوهر تقدیس است بظنون و اوهام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نجسهٴ نالائقه نیالائید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137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