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کتب الله لکلّ نفس تبلیغ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مره والّذ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راد 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به ینبغ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یتّصف بالصّفات الحسنة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وّلاً ثمّ یبلّغ النّاس لتنجذب بقوله قلوب المقبلین ومن دون ذلک لا یؤثّر ذکره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فئدة العباد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158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132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