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قل الأمر يقول الملك يومئذ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لسان القدرة يقول السّلطنة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يومئذ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ورقاء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العماء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غصن البقاء تغنّ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عظمة للّه الواحد الجبّار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حمامة الأمر ترنّ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فنان الرّضوان الكرم يومئذ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الواحد الغفّار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ديك العرش في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جمة القدس يدلع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الغلبة يومئذ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الفرد المقتدر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القهّار قلب كلّ شيء في كلّ شيء ينادي العفو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يومئذ للّه الأحد الفرد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المهيمن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تّار روح البهاء فوق الرأس مقام الّذي لن يشار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شارة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الممكنات ينطق تاللّه قد ظهر ساذج القدم ذو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العظمة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قتدار لا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العزيز المقتدر المتعالي العليم المحيط البصير الخبير المهيمن النوّار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يّها العبد الّذي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ردت رضاء اللّه وحب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ه بعد الّذي كلّ انفض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وا عن جماله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عد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ة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ولي الأبصار فجزاك اللّه من فضله جزاء حسن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باقي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دائم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بما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ردته في يوم عمت فيه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نظار ثمّ اعلم 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نّا لو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نلقي عليك رشح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عمّا رشّ علينا من رشحات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بحر القضا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ولي الغلّ والبغضا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لتبكي وتنوح في العشيّ وال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بكار فيا ليت نجد في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من منصف ذي بصر ليعرف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ظهر في هذا الظّهور من سلطنة اللّه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قتداره ويذكر النّاس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خالص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لوجه اللّه بالس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رّ والاجهار لعلّ النّاس يقومنّ وينصرنّ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هذا المظلوم الّذي ابتلي بين يدي هؤلاء الفجّار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روح القدس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ين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طق عن ورائي ويقول صر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 القول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تصريف آخر لئلّا يحزن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راد الوجه من وجهك وقل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نّي ما استنصرت من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حد من قبل ولن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استنصر من بعد بفضل اللّه وقدرته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نّه قد نصرني بالحقّ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 كنت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 العراق وجادل معي كلّ الملل وحفظني بالحق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خرجني عن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المدينة بسلطان الّذي لا ينكره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لّا كلّ منكر مك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ار قل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 جندي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توك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لي وحزبي اعتمادي ورايتي حبّي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نيسي ذكر اللّه الملك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المقتدر العزيز المختار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نّك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نت يا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يّها الس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اير في حبّ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اللّه قم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اللّه وقل يا قوم لا تشتروا هذا الغلام بزخرف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الدّنيا ولا بنعيم الآخرة تاللّه الحقّ لن يعادل بشعر منه كلّ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من في السّموات والأرض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يّاكم يا قوم لا تبدّلوه بما عندكم من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الدّرهم والدّينار فاجعلوا حبّه بضاعة لأرواحكم في يوم الّذي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لن ينفعكم شيء ويضطرب الأركان ويقشعر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جُلود النّاس وتشخص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فيه الأبصار قل يا قوم خافوا عن اللّه ولا تستكبروا عند ظهوره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خرّوا بوجوهكم سجّد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للّه ثمّ اذكروه في آناء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اللّيل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طراف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النّهار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نّك فاشتعل من هذه النّار الملتهبة المشتعلة في قطب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مكان 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ى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شأن لن يخمدها بحور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كوان ثمّ اذكر ربّك لعل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يتذكرن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بذكرك عبادنا الغفلاء ويستبشرن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خيار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>سور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>ة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 xml:space="preserve"> 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>ال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 xml:space="preserve">ذبيح </w:t>
    </w:r>
    <w:r>
      <w:rPr>
        <w:rStyle w:val="PageNumber"/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Style w:val="PageNumber"/>
        <w:rFonts w:cs="Naskh MT for Bosch School" w:ascii="Naskh MT for Bosch School" w:hAnsi="Naskh MT for Bosch School"/>
        <w:color w:val="0000CC"/>
        <w:lang w:bidi="ar-JO"/>
      </w:rPr>
      <w:t>4</w:t>
    </w:r>
    <w:r>
      <w:rPr>
        <w:rStyle w:val="PageNumber"/>
        <w:rFonts w:cs="Naskh MT for Bosch School" w:ascii="Naskh MT for Bosch School" w:hAnsi="Naskh MT for Bosch School"/>
        <w:color w:val="0000CC"/>
        <w:rtl w:val="true"/>
        <w:lang w:bidi="ar-JO"/>
      </w:rPr>
      <w:t xml:space="preserve">) – 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>من آثار حضرة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 xml:space="preserve"> بهاءالله –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 xml:space="preserve"> منتخباتى از آثار حضرت بهاءالله، رقم </w:t>
    </w:r>
    <w:r>
      <w:rPr>
        <w:rStyle w:val="PageNumber"/>
        <w:rFonts w:cs="Naskh MT for Bosch School" w:ascii="Naskh MT for Bosch School" w:hAnsi="Naskh MT for Bosch School"/>
        <w:color w:val="0000CC"/>
        <w:lang w:bidi="ar-JO"/>
      </w:rPr>
      <w:t>15</w:t>
    </w:r>
    <w:r>
      <w:rPr>
        <w:rStyle w:val="PageNumber"/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Style w:val="PageNumber"/>
        <w:rFonts w:cs="Naskh MT for Bosch School" w:ascii="Naskh MT for Bosch School" w:hAnsi="Naskh MT for Bosch School"/>
        <w:color w:val="0000CC"/>
        <w:lang w:bidi="ar-JO"/>
      </w:rPr>
      <w:t>14</w:t>
    </w:r>
    <w:r>
      <w:rPr>
        <w:rStyle w:val="PageNumber"/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