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حضرت رحمن انسان را بینا و شنوا خلق فرموده اگرچه بعضی او را عالم اصغر دانسته‌اند ولکن فی‌الحقیقه عالم اکبر است و مقام و رتبه و شأن هر انسانی باید در این یوم موعود ظاهر شود</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قلم اعلی در کلّ احیان بکمال روح و ریحان اولیای حقّ را ذکر نموده و متذکّر داشته طوبی از برای نفسی که شئونات مختلفهٴ دنیا او را از مطلع نور توحید منع ننموده باستقامت تمام باسم قیّوم از رحیق مختوم آشامیده انّه من اهل الفردوس فی کتاب الله ربّ العالمین</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162</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