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بر اولی العلم و افئده منيره واضح است که غيب هُويّه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ذات احديّه مقدّس از بروز و ظهور و صعود و نزول و دخول و خروج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بوده و متعاليست از وصف هر واصفی و ادراک هر مدرکی لم يزل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ذات خود غيب بوده و هست و لايزال بکينونت خود مستور از ابصار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انظار خواهد بود لا تدرکه الأبصار و هو يدرک الأبصار و 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اللّطيف الخبير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چُون ابواب عرفان ذات ازل بر وجه ممکنات مسدود شد لهذا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باقتضای رحمت واسعه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سبقت رحمته کلّ شیء و وسعت رحمتی کلّ شیء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جواهر قدس نورانی را از عوالم روح روحانی بهياکل عزّ انسانی در ميان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خلق ظاهر فرمود تا حکايت نمايند از آن ذات ازليّه و ساذج قدميّه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 مرايای قدسيّه و مطالع هويّه بتمامهم از آن شمس وجود و جوهر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مقصود حکايت مينمايند مثلاً علم ايشان از علم او و قدرت ايشان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قدرت او و سلطنت ايشان از سلطنت او و جمال ايشان از جمال او و ظهور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ايشان از ظهور او و ايشانند مخازن علوم ربّانی و مواقع حکمت صمدانی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مظاهر فيض نامتناهی و مطالع شمس لايزالی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 هياکل قدسيّه مرايای او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ازليّه هستند که حکايت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نموده‌اند از غيب الغيوب و از کلّ اسماء و صفات او از علم و قدرت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سلطنت و عظمت و رحمت و حکمت و عزّت و جود و کرم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جميع اين صفات از ظهور اين جواهر احديّه ظاهر و هويدا است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صفات مختصّ ببعضی دون بعضی نبوده و نيست بلکه جميع انبيای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مقرّبين و اصفيای مقدّسين باين صفات موصوف و باين اسماء موسومند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نهايت بعضی در بعضی مراتب اشدّ ظهورا و اعظم نوراً ظاهر ميشوند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چنانچه ميفرمايد تلک الرّسل فضّلنا بعضهم علی بعض پس معلوم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محقّق شد که محلّ ظهور و بروز جميع اين صفات عاليه و اسمای غير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متناهيه انبيا و اوليای او هستند خواه بعضی از اين صفات در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هياکل نوريّه بر حسب ظاهر ظاهر شود و خواه نشود نه اينست که اگر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صفتی بر حسب ظاهر از آن ارواح مجرّده ظاهر نشود نفی آن صفت از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محالّ صفات الهيّه و معادن اسمآء ربوبيّه شود لهذا بر همه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وجودات منيره و طلعات بديعه حکم جميع صفات اللّه از سلطنت و عظمت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امثال آن جاری است اگر چه بر حسب ظاهر بسلطنت ظاهره و غير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ظاهر نشوند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