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 الغيب لم يکن له من هيکل ليظهر 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لم يزل کان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مقدّس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 عمّا يذکر ويبصر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لبالمنظر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کبر ينطق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اللّه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لّا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نا العليم الحکيم قد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ظهرت نفس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ومطلع آيات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وبه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نطقت کلّ ش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ء 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هو الفرد الواحد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العليم الخبير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الغيب يعرف بنفس الظّهور والظّهور بکينونته لبرهان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عظم بين الأمم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20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