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فانظر بطرف البدء فیما نظرت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 آدم الأولی ثمّ من بعده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یصل الأمر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قبل نبیل قل تالله کلّهم قد جاؤوا عن مشرق الأمر بکتاب وصحیفة ولوح عظیم واوتوا کلّ واحد منهم علی ما قدّر لهم وهذا من فضلنا علیهم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من العارفین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حتّی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ذا بلغ الأمر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وجهه العزیز المقدّس المتعال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المنیر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احتجب نفسه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لف حجاب لئلّا یعرفه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حد بعد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کان ینزل علیه الآیات من کلّ الجهات وما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حصاها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الله ربّک وربّ العالمین فلمّا تمّ میقات السّتر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ظهرنا عن خلف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لف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لف حجاب من النّور نور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نوار وجه الغلام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قلّ من 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برة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انصعقت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هل مل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العالین ثمّ سجدت وجوه المقرّبین وظهر بشأن ما ظهر مثله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بداع بحیث قام بنفسه بین السّموات والأرضین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30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