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اعلم بأنّ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سلم الرّوح قد بکت الأشیآء کلّها ولکن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نفاقه روحه قد استعدّ کلّ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ء کما تشهد وتری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الخلایق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جمعین کلّ حکیم ظهرت منه الحکمة وکلّ عالم فصّلت منه العلوم وکلّ صانع ظهرت منه الصّنایع وکلّ سلطان ظهرت منه القدرة کلّها من تأیید روحه المتعال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المتصرّف المنیر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ونشهد بأنّه حین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تی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العالم تجلّی علی الممکنات وبه طهّر کلّ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برص عن دآء الجهل والعمی وبرئ کلّ سقیم عن سقم الغفلة والهوی وفتحت عین کلّ عمی وتزکّت کلّ نفس من لدن مقتدر قدیر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مقام یطلق البرص علی کلّ ما یحتجب به العبد عن عرفان ربّه والّذ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احتجب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برص ولا یذکر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ملکوت الله العزیز الحمید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نشهد بأنّ من کلمة الله طهّر کلّ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برص وبرئ کلّ علیل وطاب کلّ مریض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نّها لمطهّر العالم طوبی لمن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لیها بوجه منیر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