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یقن بأنّ ربّک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کلّ ظهور یتجلّی علی العباد علی مقدارهم مثلاً فانظر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الشّمس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نّها حین طلوعها عن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فقها تکون حرارتها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ثرها قلیلة وتزداد درجة بعد درجة لیستأنس بها الأشیآء قلیلاً قلیلاً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یبلغ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لی قطب الزّوال ثمّ تنزل بدرایج مقدّرة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یغرب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مغربها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نّها لو تطلع بغتةً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وسط السّمآء یضرّ حرارتها الأشیآء کذلک فانظر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شمس المعان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لتکون من المطّلعین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نّها لو تستشرق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وّل فجر الظّهور بأنوار الّت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قدّر الله لها لیحترق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رض العرفان من قلوب العباد لأنّهم لن یقدرنّ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یحملنّها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یستعکسنّ منها بل یضطربنّ منها ویکوننّ من المعدومین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38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35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