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  <w:t xml:space="preserve">...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ثمّ اعلم بأنّ هذا الغلام کلّما یکون ناظر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لی نفسه یجدها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حقر الوجود وکلّما یرتدّ البصر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تجلّیات الّت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ظهرت منها یجدها سلطان الغیب والشّهود فسبحان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بعث مظهر نفسه بالحقّ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رسله علی کلّ شاهد ومشهود 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