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معلوم آن جناب بوده که کلّ اسماء و صفات و جمیع اشیاء از آنچه ظاهر و مشهود است و از آنچه باطن و غیر مشهود بعد از کشف حجبات عن وجهها لن یبقی منها الّا آیة الله الّتی اودعها الله فیها و هی باقیة الی ما شآء الله ربّک و ربّ السّموات و الأرضین تا چه رسد بمؤمن که مقصود از آفرینش وجود و حیات او بوده و چنانچه اسم ایمان از اوّل لا اوّل بوده و الی آخر لا آخر خواهد بود و هم‌چنین مؤمن باقی و حیّ بوده و خواهد بود و لم‌یزل و لایزال طائف حول مشیّة الله بوده و او است باقی ببقآء الله و دائم بدوام او و ظاهر بظهور او و باطن بامر او و این مشهود است که اعلی افق بقا مقرّ مؤمنین بالله و آیات او بوده ابداً فنا بآن مقعد قدس راه نجوید کذلک نلقی علیک من آیات ربّک لتستقیم علی حبّک و تکون من العارفین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