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ملاحظه در نفس ناطقه که ودیعهٴ ربّانیّه است در انفس انسانیّه نمائید مثلاً در خود ملاحظه نما که حرکت و سکون و اراده و مشیّت و دون آن و فوق آن و هم‌چنین سمع و بصر و شمّ و نطق و مادون آن از حواسّ ظاهره و باطنه جمیع بوجود آن موجودند چنانچه اگر نسبت او از بدن اقلّ من آن مقطوع شود جمیع این حواسّ از آثار و افعال خود محجوب و ممنوع شوند و این بسی واضح و معلوم بوده که اثر جمیع این اسباب مذکوره منوط و مشروط بوجود نفس ناطقه که آیهٴ تجلّی سلطان احدیّه است بوده و خواهد بود چنانچه از ظهور او جمیع این اسماء و صفات ظاهر و از بطون آن جمیع معدوم و فانی شوند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حال اگر گفته شود او بصر است او مقدّس از بصر است چه که بصر باو ظاهر و بوجود او قائم و اگر بگوئی سمع است مشاهده میشود که سمع بتوجّه باو مذکور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کذلک دون آن از کلّ ما یجری علیه الأسمآء و الصّفات که در هیکل انسانی موجود و مشهود است و جمیع این اسماء مختلفه و صفات ظاهره از این آیهٴ احدیّه ظاهر و مشهود ولکن او بنفسها و جوهریّتها مقدّس از کلّ این اسماء و صفات بوده بلکه دون آن در ساحت او معدوم صرف و مفقود بحت است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اگر الی ما لا نهایه بعقول اوّلیّه و آخریّه در این لطیفهٴ ربّانیّه و تجلّی عزّ صمدانیّه تفکّر نمائی البتّه از عرفان او کما هو حقّه خود را عاجز و قاصر مشاهده نمائی و چون عجز و قصور خود را از بلوغ بعرفان آیهٴ موجودهٔ در خود مشاهده نمودی البتّه عجز خود و عجز ممکنات را از عرفان ذات احدیّه و شمس عزّ قدمیّه بعین سر و سرّ ملاحظه نمائی و اعتراف بر عجز در این مقام از روی بصیرت منتها مقام عرفان عبد است و منتها بلوغ عباد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65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