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>هو اللّه تعال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 شأنه العظمة وال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>قتدار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حمدًا لمن تشرّف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الباء بقدوم من طاف حوله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بذلك بش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رت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رّات كلّ الممكنات بما طلع ولاح وظهر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 وخرج من باب السّجن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فقه شمس جمال غصن اللّه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العظيم وسرّ اللّه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قوم القديم متوجّهًا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آخَر بذلك تكدّرت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السّجن وفرحت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ربّنا فاطر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وخالق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شياء الّذي بسلطانه فتح باب السّجن ليظهر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نزله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لواح من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المقتدر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يشاء وفي قبضته ملكوت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نشاء وهو المقتدر العليم الحكيم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فازت بقدومه ولعين 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بجماله ولسمع تشر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 بإصغاء ندائه ولقلب ذاق حلاوة حبّه ولصدر رحّب بذكره ولقلم تحرّك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ثنائه وللوح حمل آثاره نسئل اللّه تبارك وتعال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بلقائه قريبًا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السّامع المقتدر المجيب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ارض با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lang w:bidi="ar-JO"/>
      </w:rPr>
      <w:t>١٣٨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