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  <w:lang w:bidi="ar-JO"/>
        </w:rPr>
      </w:pPr>
      <w:r>
        <w:rPr>
          <w:rFonts w:cs="Traditional Arabic;Times New Roman" w:ascii="Traditional Arabic;Times New Roman" w:hAnsi="Traditional Arabic;Times New Roman"/>
          <w:sz w:val="48"/>
          <w:szCs w:val="48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ويا ورقت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حمد کن محبوب عالميان را که باين فيض اعظم فائز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شدی در ايّامی که اکثر علما و رجال ارض از آن محرومند ترا باسم ورقه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ذکر نموديم تا بمثابه اوراق از ارياح اراده حق جلّ جلاله متحرّک باشی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چنانچه اوراق اشجار ارض از هبوب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رياح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اشکر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ربّک بهذا الذّکر المبين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اگر حلاوت کلمه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را بيابی از عالميان خودرا فارغ مشاهده نمائی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ليالی و ايّام بذکر مقصود يکتا مشغول شوی اوراق و امائی که از فرات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رحمت رحمانی آشاميدند و بشطر اللّه ناظرند هر يک را بابدع بيان ذکر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نموديم 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 اللّه مقامهنّ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مقام لا يذکر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ذکار ولا يوصف بال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وصاف و ترا وصيّت مينمائيم بآنچه سبب ارتفاع امر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اللّه است ما بين عباد و اماء ندای دوستان را ميشنود و اعمال را مشاهده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ميفرمايد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هو السّميع البصير البهآء عليک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وعليهنّ من لدی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المقتدر العليم الحکيم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مبارك – </w:t>
    </w:r>
    <w:r>
      <w:rPr>
        <w:rFonts w:ascii="Naskh MT for Bosch School" w:hAnsi="Naskh MT for Bosch School" w:cs="Naskh MT for Bosch School"/>
        <w:color w:val="0000CC"/>
        <w:rtl w:val="true"/>
      </w:rPr>
      <w:t>اثر حضرت بهاءالله – مجموعه اى از الواح اقدس ابهى چاپ آلمان 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161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