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;Times New Roman" w:hAnsi="Simplified Arabic;Times New Roman" w:cs="Simplified Arabic;Times New Roman"/>
          <w:sz w:val="48"/>
          <w:szCs w:val="48"/>
        </w:rPr>
      </w:pPr>
      <w:r>
        <w:rPr>
          <w:rFonts w:cs="Simplified Arabic;Times New Roman" w:ascii="Simplified Arabic;Times New Roman" w:hAnsi="Simplified Arabic;Times New Roman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;Times New Roman" w:hAnsi="Simplified Arabic;Times New Roman" w:cs="Simplified Arabic;Times New Roman"/>
          <w:sz w:val="48"/>
          <w:szCs w:val="48"/>
        </w:rPr>
      </w:pP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يا ملوك أمريقا ورؤسآء الجمهور فيها اسمعوا ما تغنّ به الورقآء على غصن البقآء إنّه لا إله إلاّ أنا الباقي الغفور الكريم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زي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نوا هيكل الملك بطراز العدل والتّقى ورأسه بإكليل ذكر ربّكم فاطر السّمآء كذلك يأمركم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>مطلع الأسمآء من لدن عليم حكيم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قد ظهر الموعود في هذا المقام المحمود الّذي به ابتسم ثغر الوجود من الغيب والشّهود اغتنموا يوم الله إن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لقآئه خير لكم عمّا تطلع الشّمس عليها إن أنتم من العارفين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z w:val="48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;Times New Roman" w:hAnsi="Simplified Arabic;Times New Roman" w:cs="Simplified Arabic;Times New Roman"/>
          <w:b/>
          <w:b/>
          <w:bCs/>
          <w:color w:val="FF0000"/>
          <w:sz w:val="48"/>
          <w:szCs w:val="48"/>
          <w:lang w:bidi="fa-IR"/>
        </w:rPr>
      </w:pPr>
      <w:r>
        <w:rPr>
          <w:rFonts w:cs="Simplified Arabic;Times New Roman" w:ascii="Simplified Arabic;Times New Roman" w:hAnsi="Simplified Arabic;Times New Roman"/>
          <w:b/>
          <w:bCs/>
          <w:color w:val="FF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Cs w:val="32"/>
      </w:rPr>
    </w:pP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rtl w:val="true"/>
      </w:rPr>
      <w:t xml:space="preserve">ملوك امريكا وروؤساء الجمهور فيها – حضرة بهاءالله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32"/>
        <w:szCs w:val="32"/>
        <w:rtl w:val="true"/>
      </w:rPr>
      <w:t xml:space="preserve">-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rtl w:val="true"/>
      </w:rPr>
      <w:t xml:space="preserve">الكتاب الاقدس – الفقرة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</w:rPr>
      <w:t>٨٨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