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المهيمن على من في الأرض والسّماء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IQ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IQ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تَقِيُّ اتَّقِ اللهَ رَبَّكَ ثُمَّ اذْكُرْهُ بِما أَرْشَدَكَ وَهَدَيكَ إلى صِراطِهِ الْمُسْتَقِيْمِ، إِنَّ الْبَهاءَ يَنْهِيْ عَنِ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الْهَوَى وَيأْمُرُكُمْ بِما أَنْزَلَهُ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الْوَرَى فِيْ كتابِهِ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الْمُبِيْنِ، قَدْ أَشْرَقَتْ شَمْسُ الظُّهُوْرِ وَنَطَقَ مُك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لِّمُ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الطُّوْرِ وَلَكِنَّ الْقَوْمَ فِيْ حِجابٍ غَلِيْظٍ، قَدْ نَبَذُوا مَوْلى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الْوَرَى بِما اتَّبَعُوا الْهَوَى أَلا إِنَّهُمْ مِنَ الصَّاغِرِيْنَ،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قُمْ بِالاسْتِقامَةِ الْكُبْرَى عَلَى ذِكْرِ اللهِ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الآخِرَةِ وَالأُوْلَى، إِنَّهُ يَسْمَعُ وَيَرَى وَهُوَ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الشَّاهِدُ النَّاظِرُ السَّمِيْعُ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