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بسمه العليم الخبير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سُبْحانَ الَّذِيْ أَنْزَلَ الآياتِ وَأَظْهَرَ الْبَي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ناتِ إِنَّهُ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لَهُوَ الْفَرْدُ الْواحِدُ الْعَلِيْمُ الْحَكيْمُ، يَحْكمُ كَيْفَ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يَشاءُ كَما حَكَمَ مِنْ قَبْلُ وَوَصَّى 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لَّ بِما يَرْتَفِعُ بِهِ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أَمْرُهُ الْمُبْرَمُ الْحَكيْمُ، إِنَّا دَخَلْنا الْبُسْتانَ إِذًا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سَجَدَ الظِّلُّ لِرَبِّ الْعالَمِيْنَ، وَسَمِعْنا مِنْ خَرِيْرِ الْمآءِ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 شَهِدَ بِهِ رُسُلِيْ مِنْ قَبْلُ إِذْ تَجَلَّي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 عَلَيْهِمْ بِهَذا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الاسْمِ الْعَظِيْمِ، وَالأَزْهارُ خَضَعَتْ لِمَظْهَرِ الأَسْرارِ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وَالأَوْراقُ نَطَقَتْ بِثَنائِي الْجَمِيْلِ، كَذَلِكَ ذَكَرْنا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شَهِدْنا لِتَشْكرَ رَبَّكَ الرَّحِيْمَ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