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بسمه الناطق في العالم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هَذا يَوْمٌ فِيهِ تَشَرَّفَ الْبُسْتانُ بِقُدُوْمِ رَبِّهِ الرَّحْمنِ،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وَإِذا نَزَلَ فِيهِ أَنْزَلَ الآياتِ عَلَى شَأْنٍ انْجَذَبَتْ بِها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حَقائِقُ الأَشْياءِ وَخَضَعَ لَها الْمُخْلِصُوْنَ، قَدْ أَخَذَ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الاهْتِزازُ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الأَشْجارِ وَيُسْمَعُ مِنْ حَفِيْفِها ما سَمِعَتْ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أُذُنُ الْك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لِيْمِ مِنْ قَبْلُ، كَذَلِكَ قُضِيَ الأَمْرُ وَلَكنَّ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الْقَوْمَ أَكثَرَهُمْ لا يَشْعُرُوْنَ، إِنَّكَ إِذا فُزْتَ بِلَوْحِ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اللهِ وَوَجَدْتَ عَرْفَهُ أَنْ اشْك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رْ وَقُلْ لَكَ الْحَمْدُ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مالِكَ الْغَيْبِ وَالشُّهُوْدِ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