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28"/>
          <w:szCs w:val="28"/>
          <w:lang w:bidi="fa-IR"/>
        </w:rPr>
      </w:pPr>
      <w:r>
        <w:rPr>
          <w:rFonts w:cs="Naskh MT for Bosch School" w:ascii="Naskh MT for Bosch School" w:hAnsi="Naskh MT for Bosch School"/>
          <w:b/>
          <w:bCs/>
          <w:color w:val="000000"/>
          <w:sz w:val="28"/>
          <w:szCs w:val="28"/>
          <w:rtl w:val="true"/>
          <w:lang w:bidi="fa-IR"/>
        </w:rPr>
      </w:r>
    </w:p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sz w:val="44"/>
          <w:szCs w:val="44"/>
          <w:lang w:bidi="ar-IQ"/>
        </w:rPr>
      </w:pPr>
      <w:r>
        <w:rPr>
          <w:rFonts w:ascii="Naskh MT for Bosch School" w:hAnsi="Naskh MT for Bosch School" w:cs="Naskh MT for Bosch School"/>
          <w:b/>
          <w:b/>
          <w:bCs/>
          <w:sz w:val="44"/>
          <w:sz w:val="44"/>
          <w:szCs w:val="44"/>
          <w:rtl w:val="true"/>
        </w:rPr>
        <w:t>أنا النّاظر من أفق العرفان</w:t>
      </w:r>
    </w:p>
    <w:p>
      <w:pPr>
        <w:pStyle w:val="PlainText"/>
        <w:bidi w:val="1"/>
        <w:ind w:left="0" w:right="0" w:hanging="0"/>
        <w:jc w:val="center"/>
        <w:rPr>
          <w:rFonts w:ascii="Naskh MT for Bosch School" w:hAnsi="Naskh MT for Bosch School" w:cs="Naskh MT for Bosch School"/>
          <w:b/>
          <w:b/>
          <w:bCs/>
          <w:sz w:val="28"/>
          <w:szCs w:val="28"/>
          <w:lang w:bidi="ar-IQ"/>
        </w:rPr>
      </w:pPr>
      <w:r>
        <w:rPr>
          <w:rFonts w:cs="Naskh MT for Bosch School" w:ascii="Naskh MT for Bosch School" w:hAnsi="Naskh MT for Bosch School"/>
          <w:b/>
          <w:bCs/>
          <w:sz w:val="28"/>
          <w:szCs w:val="28"/>
          <w:rtl w:val="true"/>
          <w:lang w:bidi="ar-IQ"/>
        </w:rPr>
      </w:r>
    </w:p>
    <w:p>
      <w:pPr>
        <w:pStyle w:val="PlainText"/>
        <w:bidi w:val="1"/>
        <w:ind w:left="0" w:right="0" w:hanging="0"/>
        <w:jc w:val="left"/>
        <w:rPr/>
      </w:pP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يا مَلأَ الأَرْضِ إِنَّا أَرَدْنا الْبُسْتانَ فَلَمَّا اسْتَوَيْنا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فِيْهِ عَلَى الْعَرْشِ سَمِعْنا أَنَّهُ يُنادِيْ وَيَقُوْلُ يا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أَعْراشَ الْعالَمِ أَنِ افْرَحُوا بِما اسْتَقَرَّ جَمالُ الْقِدَمِ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عَلَيَّ ثُمَّ اشْك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JO"/>
        </w:rPr>
        <w:t>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رُوا رَبِّي الْعَظِيمَ بِهَذا الْفَضْلِ الْبَدِيعِ،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هَذا يَوْمٌ فِيهِ أَحاطَ الْفَضْلُ 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لَّ الْمِلَلِ وَنَطَقَتْ سِدْرَةُ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الْمُنْتَهى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مِنَ الأُفُقِ الأَعْلَى إِنَّهُ لا إِلهَ إِلا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َّ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هُوَ الْفَرْدُ الْواحِدُ الْعَلِيمُ، مَنْ أَقْبَلَ وَرَأَى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إِنَّهُ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فازَ بِهَذا الْفَضْلِ وَالَّذِيْ أَعْرَضَ إِنَّهُ مِنَ الْمُشْرِك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>ِ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ينَ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  <w:lang w:bidi="ar-IQ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فِيْ كِتابِي الْمُبِينِ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28"/>
          <w:szCs w:val="28"/>
        </w:rPr>
      </w:pPr>
      <w:r>
        <w:rPr>
          <w:rFonts w:cs="Naskh MT for Bosch School" w:ascii="Naskh MT for Bosch School" w:hAnsi="Naskh MT for Bosch School"/>
          <w:b/>
          <w:bCs/>
          <w:color w:val="000000"/>
          <w:sz w:val="28"/>
          <w:szCs w:val="28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left="0" w:right="0" w:hanging="0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 آثار حضرة بهاءالله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>–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لئالئ الحكمة، المجلد </w:t>
    </w:r>
    <w:r>
      <w:rPr>
        <w:rFonts w:cs="Naskh MT for Bosch School" w:ascii="Naskh MT for Bosch School" w:hAnsi="Naskh MT for Bosch School"/>
        <w:color w:val="0000CC"/>
        <w:lang w:bidi="ar-JO"/>
      </w:rPr>
      <w:t>1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، لوح رقم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lang w:bidi="ar-JO"/>
      </w:rPr>
      <w:t>48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)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، الصفحة </w:t>
    </w:r>
    <w:r>
      <w:rPr>
        <w:rFonts w:cs="Naskh MT for Bosch School" w:ascii="Naskh MT for Bosch School" w:hAnsi="Naskh MT for Bosch School"/>
        <w:color w:val="0000CC"/>
        <w:lang w:bidi="ar-JO"/>
      </w:rPr>
      <w:t>90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