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الله تعال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شأنه الحكمة والبيان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تي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ي، امروز آفتاب حقيقت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سماء عظمت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مشرق و مولى الورى قصد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خرى نموده، و چون خباء مجد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مرتفع و گلهاى بستان متبسّم عباد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ماء خود را در آن مقرّ روحانى و مقام عزّ صمدانى ذكر نمود، رحمتش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سباب عالم منع ننموده ونيّر عنايتش را سحاب و غمام حجاب نه، ظاهر شد و ظاهر فرمود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آنچه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راده نمود، قدرت عالم نزد قدرتش معدوم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رادات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نزد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راده اش مفقود، اوست يَفْعَلُ ما يَشاءُ وَيحْكُمُ ما يُرِيْدُ،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طوبى از براى نفسيكه از بحر عرفان محروم نماند و از نيّر عنايت ممنوع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نگشت، أَلْبَهاءُ مِنْ لَدُنَّا عَلَى إِمائِي اللاَّئِيْ سَمِعْنَ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النِّداءَ وَأَقْبَلْنَ إِلَى الأُفُقِ الأَعْلَى، وَوَيْلٌ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لِلْغافِلاتِ اللاَّئِيْ أَعْرَضْنَ عَنِ اللهِ الْعَزِيْزِ الْكَرِيْمِ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IQ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