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74A54" w14:textId="77777777" w:rsidR="00FF1B8A" w:rsidRPr="009D21C4" w:rsidRDefault="00FF1B8A" w:rsidP="00FF1B8A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</w:pPr>
      <w:r w:rsidRPr="009D21C4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٨١</w:t>
      </w:r>
      <w:r w:rsidRPr="009D21C4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9D21C4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نقض موازين ادراک و ضرورت استفاده از روح‏القدس</w:t>
      </w:r>
    </w:p>
    <w:p w14:paraId="1FFB5F3F" w14:textId="77777777" w:rsidR="00FF1B8A" w:rsidRPr="00F91745" w:rsidRDefault="00FF1B8A" w:rsidP="00FF1B8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0981A87D" w14:textId="77777777" w:rsidR="00FF1B8A" w:rsidRPr="00053804" w:rsidRDefault="00FF1B8A" w:rsidP="00FF1B8A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87340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نيز از حضرت عبدالبهاء در مفاوضات است.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87340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"ميزان ادراک آنچه مسلّم است منحصر در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چهار موازين است يعنی حقايق اشياء باين چهار چيز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ادراک ميشود. اوّل ميزان حسّ است يعنی آنچه بچشم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گوش و ذائقه و شامّه و لامسه احساس ميشود اينرا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محسوس ميگويند. امروز نزد جميع فلاسفه اروپا اين ميزان تام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ميگويند اعظم موازين حسّ است و اين ميزان را مقدّس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ميشمارند و حال آنکه ميزان حسّ ناقص است زيرا خطا دارد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مثلا اعظم قوای حسّيه بصر است سراب را آب ميبيند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صور مرئيه در مرآت راحقيقت ميشمارد و موجود بيند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اجسام کبيره را صغير داند نقطه جواله را دائره بيند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زمين را ساکن گمان کند آفتاب را متحرّک بيند و امثال ذلک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در بسيار امور خطا کند لهذا نميشود بر آن اعتماد کرد.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ميزان ثانی ميزان عقل است و اين ميزان در نزد فلاسفه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اولی اساطين حکمت ميزان ادراک بود بعقل استدلال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ميکردند و بدلائل عقليّه تشبّث مينمودند زيرا استدلالات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ايشان جميعش عقلی است با وجود اين بسيار اختلاف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کردند و آرائشان مختلف بود حتّی تبديل فکر ميکردند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يعنی يک مسأله را بيست سال بدلائل عقليّه استدلال بر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وجودش ميکردند بعد از بيست سال بدلائل عقليّه نفی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آنرا مينمودند حتّی افلاطون در بدايت بادّله عقليّه اثبات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سکون ارض و حرکت شمس را مينمود و بعد بدلائل عقليّه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اثبات نمود که شمس مرکز است و زمين متحرّک و بعد فکر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بطلميوس شهرت کرد و فکر افلاطون بکلّی فراموش شد.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اخيرا راصد جديد دوباره احيای اين رأی کرد پس چون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حضرات رياضيون اختلاف کردند و حال آنکه کلّ مستدل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بدلائل عقليّه بودند و همچنين مسأله‏ای را بدلائل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عقليّه مدّتی اثبات مينمودند و بعد از مدّتی بدلائل عقليّه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نفی کردند مثلا يکی از فلاسفه مدّتی بر رأيی ثابت بود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در اثباتش اقامه ادلّه و براهين مينمود بعد از مدّتی از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آن رأی منصرف ميشد و بدليل عقلی نفی آنرا ميکرد. پس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معلوم شد که ميزان عقلی تام نيست چه که اختلاف فلاسفه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اولی و عدم ثبات و تبديل فکر دليل بر اين است که ميزان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عقل تام نيست چه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اگر ميزان عقل تام بود بايد جميع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متّفق الفکر و متّحد الرأی باشند. ميزان ثالث ميزان نقل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و آن نصوص کتب مقدّسه است که گفته ميشود خدا در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تورات چنان فرموده‏است و در انجيل چنان فرموده‏است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اين ميزان هم تام نيست بجهت آنکه نقل را عقل ادراک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کند بعد از اينکه نفس عقل محتمل‏الخطا است چگونه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توان گفت که در ادراک و استنباط معانی اقوال منقوله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خطا ننموده بلکه عين صواب است زيرا ممکن است که خطا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کند و يقين حاصل نميشود اين ميزان رئيسهای اديان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و آنچه آنها از نصوص کتاب ادراک کنند اين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ادراکات عقليّه آنها است که از آن نصوص ادراک کنند نه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حقيقت واقع زيرا عقل مثل ميزان است و معانی مدرکه از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نصوص مثل شيئی موزون ميزان که مختل باشد موزون چه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نوع معلوم ميشود پس بدان آنچه در دست ناس است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معتقد ناس محتمل‏الخط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أ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است زيرا در اثبات و نفی شيئی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اگر دليل حسّی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آرد واضح شد که آن ميزان تام نيست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اگر دليل عقلی گويد آن نيز تام نيست يا اگر دليل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نقلی گويد آن نيز تام نيست پس واضح شد که در دست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خلق ميزانی نيست که اعتماد نمائی بلکه فيض روح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‏القدس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ميزان صحيح است که در آن ابداً شک و شبهه نيست و آن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تائيدات روح‏القدس است که بانسان ميرسد و در آن مقام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يقين حاصل ميشود."</w:t>
      </w:r>
    </w:p>
    <w:p w14:paraId="4E298A84" w14:textId="77777777" w:rsidR="00FF1B8A" w:rsidRDefault="00FF1B8A" w:rsidP="00FF1B8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2AB3D241" w14:textId="77777777" w:rsidR="00FF1B8A" w:rsidRDefault="00FF1B8A" w:rsidP="00FF1B8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87340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 xml:space="preserve"> و در خطابی ديگر 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"و لا يخفی علی ذلک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الا لمعی ان النظر و الاستدلال ما لم يکن مؤيدا بالمکاشفة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الشهود لا يغنی من الحقّ شيئا و ان اهل الاستدلال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اختلفوا من حيث العقائد و الاقوال و الاراء فلو کان ميزانهم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قسطاسا مستقيما لما اختلف الاشراقيون و المشائيون و الرواقيون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المتکلّمون حتّی اشتد الاختلاف بين کلّ زمرة من هؤلاء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کلّهم من اهل النظر و الاستدلال فنعم ما قال: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پای استدلاليان چوبين بود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پای چوبين سخت بی تمکين بود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انک يا ايها الفاضل الجليل لتعلم بان موازين الادراک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عند القوم اربعة انواع ميزان حسی و ميزان عقلی و ميزان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نقلی و ميزان الهامی فاما الميزان الحسی اعظم وسائط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ة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البصر و خطائه واضح مشهود بالبداهة عند اهل النظر فان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البصر يری السراب مائا و الظل ساکنا و النقطه الجوالة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دائرة و الاجسام العظيمه صغيرة و اما الميزان </w:t>
      </w:r>
      <w:r w:rsidRPr="00053804">
        <w:rPr>
          <w:rFonts w:ascii="Naskh MT for Bosch School" w:hAnsi="Naskh MT for Bosch School" w:cs="Naskh MT for Bosch School"/>
          <w:sz w:val="28"/>
          <w:szCs w:val="28"/>
          <w:rtl/>
        </w:rPr>
        <w:t>العقلی</w:t>
      </w:r>
      <w:r w:rsidRPr="00053804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053804">
        <w:rPr>
          <w:rFonts w:ascii="Naskh MT for Bosch School" w:hAnsi="Naskh MT for Bosch School" w:cs="Naskh MT for Bosch School"/>
          <w:sz w:val="28"/>
          <w:szCs w:val="28"/>
          <w:rtl/>
        </w:rPr>
        <w:t>الذی يعول عليه اهل النظر و الاستدلال فخطائه واضح</w:t>
      </w:r>
      <w:r w:rsidRPr="00053804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053804">
        <w:rPr>
          <w:rFonts w:ascii="Naskh MT for Bosch School" w:hAnsi="Naskh MT for Bosch School" w:cs="Naskh MT for Bosch School"/>
          <w:sz w:val="28"/>
          <w:szCs w:val="28"/>
          <w:rtl/>
        </w:rPr>
        <w:t>البرهان و ان اصحابه اختلفوا فی اکثر المسائل و الار</w:t>
      </w:r>
      <w:r w:rsidRPr="00053804">
        <w:rPr>
          <w:rFonts w:ascii="Naskh MT for Bosch School" w:hAnsi="Naskh MT for Bosch School" w:cs="Naskh MT for Bosch School" w:hint="cs"/>
          <w:sz w:val="28"/>
          <w:szCs w:val="28"/>
          <w:rtl/>
        </w:rPr>
        <w:t>اء</w:t>
      </w:r>
      <w:r w:rsidRPr="00053804">
        <w:rPr>
          <w:rFonts w:ascii="Naskh MT for Bosch School" w:hAnsi="Naskh MT for Bosch School" w:cs="Naskh MT for Bosch School"/>
          <w:sz w:val="28"/>
          <w:szCs w:val="28"/>
          <w:rtl/>
        </w:rPr>
        <w:t xml:space="preserve"> فلو کان</w:t>
      </w:r>
      <w:r w:rsidRPr="00053804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053804">
        <w:rPr>
          <w:rFonts w:ascii="Naskh MT for Bosch School" w:hAnsi="Naskh MT for Bosch School" w:cs="Naskh MT for Bosch School"/>
          <w:sz w:val="28"/>
          <w:szCs w:val="28"/>
          <w:rtl/>
        </w:rPr>
        <w:t>ميزانا مستقيما لما اختلفوا فی مسئلة و امّا الميزان النقلی</w:t>
      </w:r>
      <w:r w:rsidRPr="00053804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053804">
        <w:rPr>
          <w:rFonts w:ascii="Naskh MT for Bosch School" w:hAnsi="Naskh MT for Bosch School" w:cs="Naskh MT for Bosch School"/>
          <w:sz w:val="28"/>
          <w:szCs w:val="28"/>
          <w:rtl/>
        </w:rPr>
        <w:t>ايضا ليس مدار الايقان و الاطمينان لان النقل لا استنبط</w:t>
      </w:r>
      <w:r w:rsidRPr="00053804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053804">
        <w:rPr>
          <w:rFonts w:ascii="Naskh MT for Bosch School" w:hAnsi="Naskh MT for Bosch School" w:cs="Naskh MT for Bosch School"/>
          <w:sz w:val="28"/>
          <w:szCs w:val="28"/>
          <w:rtl/>
        </w:rPr>
        <w:t>معانيه الا العقل فاذا کان العقل ضعيف الادراک کليل</w:t>
      </w:r>
      <w:r w:rsidRPr="00053804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053804">
        <w:rPr>
          <w:rFonts w:ascii="Naskh MT for Bosch School" w:hAnsi="Naskh MT for Bosch School" w:cs="Naskh MT for Bosch School"/>
          <w:sz w:val="28"/>
          <w:szCs w:val="28"/>
          <w:rtl/>
        </w:rPr>
        <w:t>البيان بديهی الخطاء کثير الزلات فکيف استنباطه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ادراکاته و اما الميزان الالهامی ايضا لا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يخلو من الزلة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السهو حيث ان الالهام کما عرف القوم عبارة عن الواردات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القلبيه و الخطورات عن وساوس شيطاني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فاذا حصل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هذه الحال فی قلب من القلوب انی يعلم انها الهامات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رباني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او وساوس شيطاني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اذا ما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بقی الا المکاشف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الشهود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فعليک بها و عليک بها و انت لها و انت لها دقق النظر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فيما رواه مسلم فی صحيحه و البخاری ان الله تعالی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يتجلّی فينکر و يتعوذ منه فيتحول لهم فی الصورة التی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عرفوه فيها فيقرون بعد الانکار اذا ان ظهر الحقيقة خلاف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ما هو مسلم عند العموم و ان العموم غافلون عنها منکرون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لقائلها و ناقلها و الظاهر ان الحقائق الالهيّ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مخالفة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لما هو مسلم عند القوم و امّا سمعت ان النحرير الشهير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فخر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الدين الرازی بکی يوما و سئله احد من اصدقائه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عن سبب بکائه فقال مسئلة اعتقدت بها منذ ثلاثين سن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ة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تبين لی الساعه بدليل لائح لی ان الامر علی خلاف ما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عندی فبکيت و قلت لعل الذی لاح لی ايضا يکون مثل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الاول." </w:t>
      </w:r>
    </w:p>
    <w:p w14:paraId="4F95DB75" w14:textId="77777777" w:rsidR="00FF1B8A" w:rsidRDefault="00FF1B8A" w:rsidP="00FF1B8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4310FB29" w14:textId="77777777" w:rsidR="00FF1B8A" w:rsidRPr="00F91745" w:rsidRDefault="00FF1B8A" w:rsidP="00FF1B8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053804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در لوحی ديگر که در مکاتيب مبارکه جلد اوّل</w:t>
      </w:r>
      <w:r w:rsidRPr="00053804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053804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صفحه ١٠٩ نشر شده‏است چنين مسطور است.</w:t>
      </w:r>
      <w:r w:rsidRPr="00053804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053804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المبين: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"فاعلم ايها الواقف فی صراط الله المتوجه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الی الله و المقتبس من انوار معرفة الله بان الآية المبارکة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التی نزلت فی الفرقان بصحيح القرآن قوله تعالی "ما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کذب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الفؤاد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ما رأی" لها سر مکنون و رمز مصون و حقيقة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لامعة و شئون جامعة و بينات واضحة و حجة بالغة علی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من فی الوجود من الرکع السجود. و نحتاج فی بيان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حقيقتها لبثّ تفاصيل من موازين الادراک عند القوم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شرحها و دحضها حتّی يظهر و يتحقّق بالعيان 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الميزان الالهی هو الفؤاد و منبع الرشاد فاعلم بان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عند القوم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من جميع الطوائف اربعة موازين يزنون بها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الحقايق و المعانی و المسائل الالهيّة و کلّها ناقصة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لا تروی الغليل و لا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تشفی العليل و لنذکر کلّ واحدة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منها و نبين نقصه و عدم صدقه فاول الموازين ميزان الحس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هذا ميزان جمهور فلاسفه الافرنج فی هذا العصر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يقولون بانه ميزان تام کامل فاذا حکم به بشيئی فليس فيه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شبهة و ارتياب و الحال ان دليل نقص هذا الميزان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واضح کالشمس فی رابعة ‌النهار فانک اذا نظرت الی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السراب تراه ماء عذبا و شراب . و اذا نظرت الی المرايا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تری فيها صورا تتيقن بانها محقّقة الوجود و الحال انها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معدومة‌ الحقيقه بل هی انعکاسات فی الزجاجات و اذا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نظرت الی النقطة الجوالة فی الظلمات ظننتها دائرة او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خطا ممتدا و الحال انها ليس لها وجود .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بل يترا ای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للابصار و اذا نظرت الی السماء و نجومها الزاهرة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رأيت انها اجرام صغيرة و الحال ان کلّ واحد منها توازی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امثال و اضعاف کرة ‌الارض بآلاف . و تری الظل ساکنا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الحال انه متحرک و الشعاع مستمرا و الحال انه منقطع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الارض بسيطة مستوية و الحال انها کروية فاذا ثبت بان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الحس الذی هو القوة الباصرة حال کونها اقوی القوی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الحسية ناقصة‌ الميزان مختلة ‌البرهان فکيف يعتمد عليها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فی عرفان الحقائق الالهيّة و الاثار الرحمانية و الشئون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الکونية و اما الميزان الثانی الذی اعتمد عليه اهل الاشراق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الحکماء المشاؤن هو الميزان العقلی. و هکذا سائر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طوائف الفلاسفة الاولی فی القرون الاولي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الوسطی.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اعتمدوا عليه و قالوا ما حکم به العقل فهو الثابت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الواضح المبرهن الذی لاريب فيه و لا شک و لا شبهة اصلا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قطعا. فهؤلاء الطوائف کلّهم اجمعون حال کونهم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اعتمدوا علی الميزان العقلی قد اختلفوا فی جميع المسائل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تشتت آرائهم فی کلّ الحقائق. فلو کان الميزان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العقلی هو الميزان العادل الصادق المتين لما اختلفوا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فی الحقائق و المسائل و ما تشتتت آراء الاوائل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الاواخر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فبسبب اختلافهم و تباينهم ثبت ان الميزان العقلی ليس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بکامل فاننا اذا تصوّرنا ميزانا تاما لوزنت ماة الف نسمة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ثقلا لا تفقوا فی الکمية فعدم اتفاقهم برهان کاف واف علی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اختلال الميزان العقلی. و ثالثه الميزان النقلی و هذا ايضا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مختل فلا يقدر الانسان ان يعتمد عليه لان العقل هو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المدرک للنقل و موزن ميزانه. فاذا کان الاصل ميزان العقل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مختلا فکيف يمکن ان موزونه النقلی يوافق الحقيقة و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يفيد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اليقين و ان هذا امر واضح مبين. و اما الميزان رابع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فهو ميزان الالهام فالالهام هو عبارة عن خطورات قلبية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الوساوس الشيطانيه هی ايضا خطورات تتابع علی القلب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من واردات نفسيه فاذا خطر بقلب احد معنی من المعانی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او مسئلة من المسائل فمن اين يعلم انها الهامات رحمانيه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فلعلها وساوس شيطانية.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فاذا ثبت بان الموازين الموجودة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بين القوم کلّها مختلة لا يعتمد عليها فی الادراکات بل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اضغاث احلام و ظنون و اوهام لا يروی الظمآن و لا يغنی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الطالب للعرفان. و امّا الميزان الحقيقی الالهی الذی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لا يختل ابدا و لا ينفک يدرک الحقايق الکلّية و المعانی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العظيمة فهو ميزان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الفؤاد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الذی ذکره الله فی الآية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المبارکة لانه من تجلّيات سطوع انوار الفيض الالهی و السر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الرحمانی و الظهور الوجدانی و الرمز الربانی و انه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لفيض قديم و نور مبين و جود عظيم. فاذا نعم الله به علی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احد من اصفيائه و افاض علی الموقنين من احبائه عند ذلک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يصل الی المقام الذی قال علی عليه السلام لو کشف الغطاء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ما ازددت يقينا لان النظر و الاستدلال فی غاية الدرجة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من الضعف و الادراک فان النتيجة منوطة بمقتضيات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الصغری و الکبری فهما جعلت الصغری و الکبری ينتج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منهما نتيجة لا يمکن الاعتماد عليها حيث اختلفت آراء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الحکما فاذا يا ايها المتوجه الی الله ظهّر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الفؤاد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عن کلّ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شئون مانعة عن السداد فی حقيقة الرشاد وزن کلّ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المسائل الالهية بهذا الميزان العادل الصادق العظيم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الذی بينه الله فی القرآن الحکيم و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النبأ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العظيم لتشرب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من عين اليقين و تتمتع بحقّ اليقين و تهتدی الی الصراط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المستقيم و تسلک فی المنهج القويم و الحمد لله رب العالمين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053804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ع ع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"</w:t>
      </w:r>
    </w:p>
    <w:p w14:paraId="7D801DB2" w14:textId="77777777" w:rsidR="00FF1B8A" w:rsidRPr="00F4519D" w:rsidRDefault="00FF1B8A" w:rsidP="00FF1B8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370032A5" w14:textId="77777777" w:rsidR="00FF1B8A" w:rsidRPr="00F80E52" w:rsidRDefault="00FF1B8A" w:rsidP="00FF1B8A">
      <w:pPr>
        <w:bidi/>
        <w:jc w:val="center"/>
        <w:rPr>
          <w:rFonts w:ascii="Naskh MT for Bosch School" w:hAnsi="Naskh MT for Bosch School" w:cs="Naskh MT for Bosch School"/>
          <w:b/>
          <w:bCs/>
          <w:color w:val="FF0000"/>
          <w:sz w:val="28"/>
          <w:szCs w:val="28"/>
          <w:rtl/>
        </w:rPr>
      </w:pPr>
      <w:r w:rsidRPr="00F80E52">
        <w:rPr>
          <w:rFonts w:ascii="Naskh MT for Bosch School" w:hAnsi="Naskh MT for Bosch School" w:cs="Naskh MT for Bosch School" w:hint="cs"/>
          <w:b/>
          <w:bCs/>
          <w:color w:val="FF0000"/>
          <w:sz w:val="28"/>
          <w:szCs w:val="28"/>
          <w:rtl/>
        </w:rPr>
        <w:t>*****حاشیة*****</w:t>
      </w:r>
    </w:p>
    <w:p w14:paraId="1DA3BCE2" w14:textId="77777777" w:rsidR="00FF1B8A" w:rsidRDefault="00FF1B8A" w:rsidP="00FF1B8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2D91F4E2" w14:textId="77777777" w:rsidR="00FF1B8A" w:rsidRPr="00F91745" w:rsidRDefault="00FF1B8A" w:rsidP="00FF1B8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قال بعضهم لسنا علی يقين من تشخيص مقدار ما نبصره و لا نقدر علی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تشخيص حجمه الذی هو عليه فی نفس الامر و ليس البصر مأمونا علی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ذلک و لا موثقا بصدقه لان المرئی کلّما زاد قربا ازداد عظما فی الحس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کلّما بعد ازداد صغرا و امّا حالة توسطه فی القرب و البعد فلسنا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علی يقين من ان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حجمه فی الواقع هو حجمه المرئی فيها علی انا نحدس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ان الهواء المتوسط بيننا و بين المبصر هو موجب کون حجمه اعظم فلعله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لو يحقّق الخلاء کان يری اصغر.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053804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" کشکول شيخ بهائی "</w:t>
      </w:r>
    </w:p>
    <w:p w14:paraId="536C4037" w14:textId="77777777" w:rsidR="00FF1B8A" w:rsidRDefault="00FF1B8A" w:rsidP="00FF1B8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7AE86E12" w14:textId="7F067F03" w:rsidR="00FF1B8A" w:rsidRPr="00053804" w:rsidRDefault="00FF1B8A" w:rsidP="00FF1B8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لا تدرکه العقول بمشاهده العيان و لکن يدرکه القلوب بحقائق الايمان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053804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" حضرت علی امير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053804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المؤمنين"</w:t>
      </w:r>
    </w:p>
    <w:p w14:paraId="41D39E8D" w14:textId="77777777" w:rsidR="00FF1B8A" w:rsidRDefault="00FF1B8A" w:rsidP="00FF1B8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6E76645B" w14:textId="77777777" w:rsidR="00FF1B8A" w:rsidRPr="00053804" w:rsidRDefault="00FF1B8A" w:rsidP="00FF1B8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نتوان بخدا رسيد در علم و کتاب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حجت نبرد راه باقليم و صواب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در وادی معرفت براهين حکيم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چون جاده راه در چراگاه دواب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053804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" ابو سعيد ابو الخير "</w:t>
      </w:r>
    </w:p>
    <w:p w14:paraId="4EF4EECB" w14:textId="77777777" w:rsidR="00FF1B8A" w:rsidRDefault="00FF1B8A" w:rsidP="00FF1B8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2579C5C7" w14:textId="77777777" w:rsidR="00FF1B8A" w:rsidRPr="00053804" w:rsidRDefault="00FF1B8A" w:rsidP="00FF1B8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کسی کو عقل دور انديش دارد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بسی سرگشتگی در پيش دارد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053804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" شبستری "</w:t>
      </w:r>
    </w:p>
    <w:p w14:paraId="4BA52993" w14:textId="77777777" w:rsidR="00FF1B8A" w:rsidRDefault="00FF1B8A" w:rsidP="00FF1B8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1A38D4C8" w14:textId="77777777" w:rsidR="00FF1B8A" w:rsidRPr="00053804" w:rsidRDefault="00FF1B8A" w:rsidP="00FF1B8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پای استدلاليان چوبين بود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پای چوبين سخت بی تمکين بود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053804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" مولوی رومی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34C3F" w14:textId="77777777" w:rsidR="005A2956" w:rsidRDefault="005A2956">
      <w:r>
        <w:separator/>
      </w:r>
    </w:p>
  </w:endnote>
  <w:endnote w:type="continuationSeparator" w:id="0">
    <w:p w14:paraId="4A0E1390" w14:textId="77777777" w:rsidR="005A2956" w:rsidRDefault="005A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F4D3E" w14:textId="77777777" w:rsidR="005A2956" w:rsidRDefault="005A2956">
      <w:r>
        <w:separator/>
      </w:r>
    </w:p>
  </w:footnote>
  <w:footnote w:type="continuationSeparator" w:id="0">
    <w:p w14:paraId="4754655B" w14:textId="77777777" w:rsidR="005A2956" w:rsidRDefault="005A2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5F1F3DAC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FF1B8A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5A2956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  <w:rsid w:val="00FF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F1B8A"/>
    <w:pPr>
      <w:keepNext/>
      <w:bidi/>
      <w:jc w:val="both"/>
      <w:outlineLvl w:val="2"/>
    </w:pPr>
    <w:rPr>
      <w:rFonts w:cs="Naskh MT for Bosch School"/>
      <w:b/>
      <w:bCs/>
      <w:szCs w:val="28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FF1B8A"/>
    <w:pPr>
      <w:keepNext/>
      <w:bidi/>
      <w:jc w:val="both"/>
      <w:outlineLvl w:val="3"/>
    </w:pPr>
    <w:rPr>
      <w:rFonts w:cs="Naskh MT for Bosch School"/>
      <w:b/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FF1B8A"/>
    <w:pPr>
      <w:keepNext/>
      <w:bidi/>
      <w:jc w:val="both"/>
      <w:outlineLvl w:val="4"/>
    </w:pPr>
    <w:rPr>
      <w:rFonts w:cs="Naskh MT for Bosch School"/>
      <w:b/>
      <w:bCs/>
      <w:szCs w:val="28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FF1B8A"/>
    <w:pPr>
      <w:keepNext/>
      <w:bidi/>
      <w:jc w:val="both"/>
      <w:outlineLvl w:val="5"/>
    </w:pPr>
    <w:rPr>
      <w:rFonts w:cs="Naskh MT for Bosch School"/>
      <w:b/>
      <w:bCs/>
      <w:szCs w:val="28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FF1B8A"/>
    <w:pPr>
      <w:keepNext/>
      <w:bidi/>
      <w:jc w:val="both"/>
      <w:outlineLvl w:val="6"/>
    </w:pPr>
    <w:rPr>
      <w:rFonts w:cs="Naskh MT for Bosch School"/>
      <w:b/>
      <w:bCs/>
      <w:szCs w:val="28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FF1B8A"/>
    <w:pPr>
      <w:keepNext/>
      <w:bidi/>
      <w:jc w:val="both"/>
      <w:outlineLvl w:val="7"/>
    </w:pPr>
    <w:rPr>
      <w:rFonts w:cs="Naskh MT for Bosch School"/>
      <w:b/>
      <w:bCs/>
      <w:szCs w:val="28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FF1B8A"/>
    <w:pPr>
      <w:keepNext/>
      <w:bidi/>
      <w:jc w:val="both"/>
      <w:outlineLvl w:val="8"/>
    </w:pPr>
    <w:rPr>
      <w:rFonts w:cs="Naskh MT for Bosch School"/>
      <w:b/>
      <w:bCs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FF1B8A"/>
    <w:rPr>
      <w:rFonts w:ascii="Times New Roman" w:eastAsia="Times New Roman" w:hAnsi="Times New Roman" w:cs="Naskh MT for Bosch School"/>
      <w:b/>
      <w:bCs/>
      <w:sz w:val="24"/>
      <w:szCs w:val="28"/>
      <w:lang w:eastAsia="en-US" w:bidi="ar-SA"/>
    </w:rPr>
  </w:style>
  <w:style w:type="character" w:customStyle="1" w:styleId="Heading4Char">
    <w:name w:val="Heading 4 Char"/>
    <w:basedOn w:val="DefaultParagraphFont"/>
    <w:link w:val="Heading4"/>
    <w:rsid w:val="00FF1B8A"/>
    <w:rPr>
      <w:rFonts w:ascii="Times New Roman" w:eastAsia="Times New Roman" w:hAnsi="Times New Roman" w:cs="Naskh MT for Bosch School"/>
      <w:b/>
      <w:bCs/>
      <w:sz w:val="24"/>
      <w:szCs w:val="28"/>
      <w:lang w:eastAsia="en-US" w:bidi="ar-SA"/>
    </w:rPr>
  </w:style>
  <w:style w:type="character" w:customStyle="1" w:styleId="Heading5Char">
    <w:name w:val="Heading 5 Char"/>
    <w:basedOn w:val="DefaultParagraphFont"/>
    <w:link w:val="Heading5"/>
    <w:rsid w:val="00FF1B8A"/>
    <w:rPr>
      <w:rFonts w:ascii="Times New Roman" w:eastAsia="Times New Roman" w:hAnsi="Times New Roman" w:cs="Naskh MT for Bosch School"/>
      <w:b/>
      <w:bCs/>
      <w:sz w:val="24"/>
      <w:szCs w:val="28"/>
      <w:lang w:eastAsia="en-US" w:bidi="ar-SA"/>
    </w:rPr>
  </w:style>
  <w:style w:type="character" w:customStyle="1" w:styleId="Heading6Char">
    <w:name w:val="Heading 6 Char"/>
    <w:basedOn w:val="DefaultParagraphFont"/>
    <w:link w:val="Heading6"/>
    <w:rsid w:val="00FF1B8A"/>
    <w:rPr>
      <w:rFonts w:ascii="Times New Roman" w:eastAsia="Times New Roman" w:hAnsi="Times New Roman" w:cs="Naskh MT for Bosch School"/>
      <w:b/>
      <w:bCs/>
      <w:sz w:val="24"/>
      <w:szCs w:val="28"/>
      <w:lang w:eastAsia="en-US" w:bidi="ar-SA"/>
    </w:rPr>
  </w:style>
  <w:style w:type="character" w:customStyle="1" w:styleId="Heading7Char">
    <w:name w:val="Heading 7 Char"/>
    <w:basedOn w:val="DefaultParagraphFont"/>
    <w:link w:val="Heading7"/>
    <w:rsid w:val="00FF1B8A"/>
    <w:rPr>
      <w:rFonts w:ascii="Times New Roman" w:eastAsia="Times New Roman" w:hAnsi="Times New Roman" w:cs="Naskh MT for Bosch School"/>
      <w:b/>
      <w:bCs/>
      <w:sz w:val="24"/>
      <w:szCs w:val="28"/>
      <w:lang w:eastAsia="en-US" w:bidi="ar-SA"/>
    </w:rPr>
  </w:style>
  <w:style w:type="character" w:customStyle="1" w:styleId="Heading8Char">
    <w:name w:val="Heading 8 Char"/>
    <w:basedOn w:val="DefaultParagraphFont"/>
    <w:link w:val="Heading8"/>
    <w:rsid w:val="00FF1B8A"/>
    <w:rPr>
      <w:rFonts w:ascii="Times New Roman" w:eastAsia="Times New Roman" w:hAnsi="Times New Roman" w:cs="Naskh MT for Bosch School"/>
      <w:b/>
      <w:bCs/>
      <w:sz w:val="24"/>
      <w:szCs w:val="28"/>
      <w:lang w:eastAsia="en-US" w:bidi="ar-SA"/>
    </w:rPr>
  </w:style>
  <w:style w:type="character" w:customStyle="1" w:styleId="Heading9Char">
    <w:name w:val="Heading 9 Char"/>
    <w:basedOn w:val="DefaultParagraphFont"/>
    <w:link w:val="Heading9"/>
    <w:rsid w:val="00FF1B8A"/>
    <w:rPr>
      <w:rFonts w:ascii="Times New Roman" w:eastAsia="Times New Roman" w:hAnsi="Times New Roman" w:cs="Naskh MT for Bosch School"/>
      <w:b/>
      <w:bCs/>
      <w:sz w:val="24"/>
      <w:szCs w:val="28"/>
      <w:lang w:eastAsia="en-US" w:bidi="ar-SA"/>
    </w:rPr>
  </w:style>
  <w:style w:type="paragraph" w:styleId="FootnoteText">
    <w:name w:val="footnote text"/>
    <w:basedOn w:val="Normal"/>
    <w:link w:val="FootnoteTextChar"/>
    <w:semiHidden/>
    <w:rsid w:val="00FF1B8A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FF1B8A"/>
    <w:rPr>
      <w:rFonts w:ascii="Times New Roman" w:eastAsia="Times New Roman" w:hAnsi="Times New Roman" w:cs="Times New Roman"/>
      <w:szCs w:val="20"/>
      <w:lang w:eastAsia="en-US" w:bidi="ar-SA"/>
    </w:rPr>
  </w:style>
  <w:style w:type="character" w:styleId="FootnoteReference">
    <w:name w:val="footnote reference"/>
    <w:semiHidden/>
    <w:rsid w:val="00FF1B8A"/>
    <w:rPr>
      <w:vertAlign w:val="superscript"/>
    </w:rPr>
  </w:style>
  <w:style w:type="character" w:styleId="Strong">
    <w:name w:val="Strong"/>
    <w:qFormat/>
    <w:rsid w:val="00FF1B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1387</Words>
  <Characters>7906</Characters>
  <Application>Microsoft Office Word</Application>
  <DocSecurity>0</DocSecurity>
  <Lines>65</Lines>
  <Paragraphs>18</Paragraphs>
  <ScaleCrop>false</ScaleCrop>
  <Company/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2023-10-16T21:38:00Z</dcterms:modified>
  <dc:language>en-US</dc:language>
</cp:coreProperties>
</file>