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C470" w14:textId="77777777" w:rsidR="005309B5" w:rsidRDefault="005309B5" w:rsidP="005309B5">
      <w:pPr>
        <w:bidi/>
        <w:jc w:val="both"/>
        <w:rPr>
          <w:rFonts w:cs="Naskh MT for Bosch School"/>
          <w:szCs w:val="28"/>
          <w:rtl/>
        </w:rPr>
      </w:pPr>
    </w:p>
    <w:p w14:paraId="107EE4B1" w14:textId="77777777" w:rsidR="005309B5" w:rsidRPr="0025591F" w:rsidRDefault="005309B5" w:rsidP="005309B5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25591F">
        <w:rPr>
          <w:rFonts w:cs="Naskh MT for Bosch School"/>
          <w:b/>
          <w:bCs/>
          <w:color w:val="FF0000"/>
          <w:szCs w:val="28"/>
          <w:rtl/>
        </w:rPr>
        <w:t>٢٣</w:t>
      </w:r>
      <w:r w:rsidRPr="0025591F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25591F">
        <w:rPr>
          <w:rFonts w:cs="Naskh MT for Bosch School"/>
          <w:b/>
          <w:bCs/>
          <w:color w:val="FF0000"/>
          <w:szCs w:val="28"/>
          <w:rtl/>
        </w:rPr>
        <w:t>انبیاء طبق ظاهر احوال حکم مینمودند</w:t>
      </w:r>
    </w:p>
    <w:p w14:paraId="6F181245" w14:textId="77777777" w:rsidR="005309B5" w:rsidRDefault="005309B5" w:rsidP="005309B5">
      <w:pPr>
        <w:bidi/>
        <w:jc w:val="both"/>
        <w:rPr>
          <w:rFonts w:cs="Naskh MT for Bosch School"/>
          <w:szCs w:val="28"/>
          <w:rtl/>
        </w:rPr>
      </w:pPr>
    </w:p>
    <w:p w14:paraId="0981D535" w14:textId="127F7E6D" w:rsidR="005309B5" w:rsidRDefault="005309B5" w:rsidP="005309B5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از حضرت بهاءالله در لوح خطاب بشیخ سلمان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 قوله الاعلی: ای سلمان لم یزل حق بظاهر بین ناس حکم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فرموده و جمیع نبیین و مرسلین مامور بوده که ما بین بریة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بظاهر حکم نمایند و جز این جائز نه مثلا ملاحظه نما نفسی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حال مومن و موّحد ... در اینمقام کل اوصاف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حق او جاری و صادق است ... و کل آن اوصاف راجع میشود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بان تجلی ... درینمقام اگر نفسی ازو اعراض نماید از حق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اعراض نموده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بعد از اعراض آن تجلی ... بمقر خود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باز گشت دیگر آن نفس نفس سابق نیست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9C425" w14:textId="77777777" w:rsidR="00912204" w:rsidRDefault="00912204">
      <w:r>
        <w:separator/>
      </w:r>
    </w:p>
  </w:endnote>
  <w:endnote w:type="continuationSeparator" w:id="0">
    <w:p w14:paraId="041BE540" w14:textId="77777777" w:rsidR="00912204" w:rsidRDefault="0091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2EE99" w14:textId="77777777" w:rsidR="00912204" w:rsidRDefault="00912204">
      <w:r>
        <w:separator/>
      </w:r>
    </w:p>
  </w:footnote>
  <w:footnote w:type="continuationSeparator" w:id="0">
    <w:p w14:paraId="45A09AD9" w14:textId="77777777" w:rsidR="00912204" w:rsidRDefault="00912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A330F9C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5309B5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309B5"/>
    <w:rsid w:val="00555B6C"/>
    <w:rsid w:val="006C0A81"/>
    <w:rsid w:val="006C4BCD"/>
    <w:rsid w:val="007822DB"/>
    <w:rsid w:val="00912204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2023-10-11T20:22:00Z</dcterms:modified>
  <dc:language>en-US</dc:language>
</cp:coreProperties>
</file>