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1C987" w14:textId="77777777" w:rsidR="00C83069" w:rsidRPr="008F2E2F" w:rsidRDefault="00C83069" w:rsidP="00C83069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8F2E2F">
        <w:rPr>
          <w:rFonts w:cs="Naskh MT for Bosch School"/>
          <w:b/>
          <w:bCs/>
          <w:color w:val="FF0000"/>
          <w:szCs w:val="28"/>
          <w:rtl/>
        </w:rPr>
        <w:t>٣٣</w:t>
      </w:r>
      <w:r w:rsidRPr="008F2E2F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8F2E2F">
        <w:rPr>
          <w:rFonts w:cs="Naskh MT for Bosch School"/>
          <w:b/>
          <w:bCs/>
          <w:color w:val="FF0000"/>
          <w:szCs w:val="28"/>
          <w:rtl/>
        </w:rPr>
        <w:t>بهائی و اهل بهائی</w:t>
      </w:r>
    </w:p>
    <w:p w14:paraId="577CFE62" w14:textId="77777777" w:rsidR="00C83069" w:rsidRDefault="00C83069" w:rsidP="00C83069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7137D43C" w14:textId="77777777" w:rsidR="00C83069" w:rsidRDefault="00C83069" w:rsidP="00C83069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و نیز از حضرت بهاءالله در کتاب عهدی است قوله تعالی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هر مقبلی الیوم عرف قمیص را یافت و بقلب طاهر بافق اعلی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توجه نمود او از اهل بهاء در صحیفه حمراء مذکور خذ قدح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عنایتی باسمی ثم اشرب منه بذکری العزیز البدیع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90013" w14:textId="77777777" w:rsidR="00B716DE" w:rsidRDefault="00B716DE">
      <w:r>
        <w:separator/>
      </w:r>
    </w:p>
  </w:endnote>
  <w:endnote w:type="continuationSeparator" w:id="0">
    <w:p w14:paraId="0E2E438E" w14:textId="77777777" w:rsidR="00B716DE" w:rsidRDefault="00B7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0D7AF" w14:textId="77777777" w:rsidR="00B716DE" w:rsidRDefault="00B716DE">
      <w:r>
        <w:separator/>
      </w:r>
    </w:p>
  </w:footnote>
  <w:footnote w:type="continuationSeparator" w:id="0">
    <w:p w14:paraId="11C81934" w14:textId="77777777" w:rsidR="00B716DE" w:rsidRDefault="00B71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23D2A1A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C83069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A82770"/>
    <w:rsid w:val="00B716DE"/>
    <w:rsid w:val="00C171D1"/>
    <w:rsid w:val="00C83069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2023-10-11T20:27:00Z</dcterms:modified>
  <dc:language>en-US</dc:language>
</cp:coreProperties>
</file>