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9DF4" w14:textId="77777777" w:rsidR="007F375E" w:rsidRPr="001A5A84" w:rsidRDefault="007F375E" w:rsidP="007F375E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1A5A84">
        <w:rPr>
          <w:rFonts w:cs="Naskh MT for Bosch School"/>
          <w:b/>
          <w:bCs/>
          <w:color w:val="FF0000"/>
          <w:szCs w:val="28"/>
          <w:rtl/>
        </w:rPr>
        <w:t>٧٧</w:t>
      </w:r>
      <w:r w:rsidRPr="001A5A84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1A5A84">
        <w:rPr>
          <w:rFonts w:cs="Naskh MT for Bosch School"/>
          <w:b/>
          <w:bCs/>
          <w:color w:val="FF0000"/>
          <w:szCs w:val="28"/>
          <w:rtl/>
        </w:rPr>
        <w:t>تبدیل آب بشراب</w:t>
      </w:r>
    </w:p>
    <w:p w14:paraId="1DB47C66" w14:textId="77777777" w:rsidR="007F375E" w:rsidRDefault="007F375E" w:rsidP="007F375E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3015181E" w14:textId="77777777" w:rsidR="007F375E" w:rsidRDefault="007F375E" w:rsidP="007F375E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از حضرت عبدالبهاء در سفر نامه اروپا است که سئوال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تبدیل گشتن آب بشراب شد فرمودند معانی شرع قدیم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حضرت مسیح نشأه و اثر جدید داد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E5595" w14:textId="77777777" w:rsidR="00125304" w:rsidRDefault="00125304">
      <w:r>
        <w:separator/>
      </w:r>
    </w:p>
  </w:endnote>
  <w:endnote w:type="continuationSeparator" w:id="0">
    <w:p w14:paraId="0B0444A2" w14:textId="77777777" w:rsidR="00125304" w:rsidRDefault="0012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D48EF" w14:textId="77777777" w:rsidR="00125304" w:rsidRDefault="00125304">
      <w:r>
        <w:separator/>
      </w:r>
    </w:p>
  </w:footnote>
  <w:footnote w:type="continuationSeparator" w:id="0">
    <w:p w14:paraId="65273A53" w14:textId="77777777" w:rsidR="00125304" w:rsidRDefault="00125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5F04E62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7F375E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25304"/>
    <w:rsid w:val="00352151"/>
    <w:rsid w:val="00514B2C"/>
    <w:rsid w:val="00555B6C"/>
    <w:rsid w:val="006C0A81"/>
    <w:rsid w:val="006C4BCD"/>
    <w:rsid w:val="007822DB"/>
    <w:rsid w:val="007F375E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2023-10-12T01:16:00Z</dcterms:modified>
  <dc:language>en-US</dc:language>
</cp:coreProperties>
</file>